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5"/>
        <w:spacing w:before="120" w:beforeLines="50" w:line="360" w:lineRule="auto"/>
        <w:rPr>
          <w:b/>
          <w:bCs/>
          <w:color w:val="auto"/>
          <w:sz w:val="40"/>
          <w:szCs w:val="40"/>
          <w:highlight w:val="none"/>
        </w:rPr>
      </w:pPr>
      <w:bookmarkStart w:id="0" w:name="_Toc578"/>
      <w:bookmarkStart w:id="1" w:name="_Toc5725"/>
      <w:bookmarkStart w:id="2" w:name="_Toc6478"/>
      <w:r>
        <w:rPr>
          <w:rFonts w:hint="eastAsia"/>
          <w:b/>
          <w:bCs/>
          <w:color w:val="auto"/>
          <w:sz w:val="40"/>
          <w:szCs w:val="40"/>
          <w:highlight w:val="none"/>
        </w:rPr>
        <w:t>项目编号：QXZB-2023-0950B</w:t>
      </w:r>
    </w:p>
    <w:p>
      <w:pPr>
        <w:pStyle w:val="35"/>
        <w:keepNext w:val="0"/>
        <w:keepLines w:val="0"/>
        <w:pageBreakBefore w:val="0"/>
        <w:widowControl w:val="0"/>
        <w:kinsoku/>
        <w:wordWrap w:val="0"/>
        <w:overflowPunct/>
        <w:topLinePunct w:val="0"/>
        <w:autoSpaceDE/>
        <w:autoSpaceDN/>
        <w:bidi w:val="0"/>
        <w:adjustRightInd w:val="0"/>
        <w:snapToGrid w:val="0"/>
        <w:spacing w:line="360" w:lineRule="auto"/>
        <w:textAlignment w:val="auto"/>
        <w:rPr>
          <w:b/>
          <w:bCs/>
          <w:color w:val="auto"/>
          <w:sz w:val="40"/>
          <w:szCs w:val="40"/>
          <w:highlight w:val="none"/>
        </w:rPr>
      </w:pPr>
      <w:r>
        <w:rPr>
          <w:rFonts w:hint="eastAsia"/>
          <w:b/>
          <w:bCs/>
          <w:color w:val="auto"/>
          <w:sz w:val="40"/>
          <w:szCs w:val="40"/>
          <w:highlight w:val="none"/>
        </w:rPr>
        <w:t>项目名称：</w:t>
      </w:r>
      <w:r>
        <w:rPr>
          <w:rFonts w:hint="eastAsia"/>
          <w:b/>
          <w:bCs/>
          <w:color w:val="auto"/>
          <w:sz w:val="40"/>
          <w:szCs w:val="40"/>
          <w:highlight w:val="none"/>
          <w:lang w:eastAsia="zh-CN"/>
        </w:rPr>
        <w:t>成都市技师学院(成都工贸职业技术学院)2023年学生工装采购项目</w:t>
      </w:r>
      <w:r>
        <w:rPr>
          <w:rFonts w:hint="eastAsia"/>
          <w:b/>
          <w:bCs/>
          <w:color w:val="auto"/>
          <w:sz w:val="40"/>
          <w:szCs w:val="40"/>
          <w:highlight w:val="none"/>
        </w:rPr>
        <w:t xml:space="preserve"> </w:t>
      </w:r>
    </w:p>
    <w:p>
      <w:pPr>
        <w:pStyle w:val="35"/>
        <w:wordWrap w:val="0"/>
        <w:topLinePunct/>
        <w:spacing w:before="3360" w:beforeLines="1400" w:after="3360" w:afterLines="1400" w:line="240" w:lineRule="auto"/>
        <w:jc w:val="center"/>
        <w:rPr>
          <w:b/>
          <w:bCs/>
          <w:color w:val="auto"/>
          <w:sz w:val="96"/>
          <w:szCs w:val="96"/>
          <w:highlight w:val="none"/>
        </w:rPr>
      </w:pPr>
      <w:r>
        <w:rPr>
          <w:rFonts w:hint="eastAsia"/>
          <w:b/>
          <w:bCs/>
          <w:color w:val="auto"/>
          <w:sz w:val="96"/>
          <w:szCs w:val="96"/>
          <w:highlight w:val="none"/>
        </w:rPr>
        <w:t>招标文件</w:t>
      </w:r>
    </w:p>
    <w:p>
      <w:pPr>
        <w:pStyle w:val="35"/>
        <w:spacing w:line="360" w:lineRule="auto"/>
        <w:jc w:val="center"/>
        <w:rPr>
          <w:b/>
          <w:bCs/>
          <w:color w:val="auto"/>
          <w:sz w:val="28"/>
          <w:szCs w:val="28"/>
          <w:highlight w:val="none"/>
        </w:rPr>
      </w:pPr>
      <w:r>
        <w:rPr>
          <w:rFonts w:hint="eastAsia"/>
          <w:b/>
          <w:bCs/>
          <w:color w:val="auto"/>
          <w:sz w:val="28"/>
          <w:szCs w:val="28"/>
          <w:highlight w:val="none"/>
        </w:rPr>
        <w:t>中国·四川</w:t>
      </w:r>
    </w:p>
    <w:p>
      <w:pPr>
        <w:pStyle w:val="35"/>
        <w:spacing w:line="360" w:lineRule="auto"/>
        <w:ind w:left="2400" w:leftChars="1000"/>
        <w:rPr>
          <w:b/>
          <w:bCs/>
          <w:color w:val="auto"/>
          <w:sz w:val="28"/>
          <w:szCs w:val="28"/>
          <w:highlight w:val="none"/>
        </w:rPr>
      </w:pPr>
      <w:r>
        <w:rPr>
          <w:rFonts w:hint="eastAsia"/>
          <w:b/>
          <w:bCs/>
          <w:color w:val="auto"/>
          <w:sz w:val="28"/>
          <w:szCs w:val="28"/>
          <w:highlight w:val="none"/>
        </w:rPr>
        <w:t xml:space="preserve">采   购   人：成都市技师学院         </w:t>
      </w:r>
    </w:p>
    <w:p>
      <w:pPr>
        <w:pStyle w:val="35"/>
        <w:spacing w:line="360" w:lineRule="auto"/>
        <w:ind w:left="2400" w:leftChars="1000"/>
        <w:rPr>
          <w:b/>
          <w:bCs/>
          <w:color w:val="auto"/>
          <w:sz w:val="28"/>
          <w:szCs w:val="28"/>
          <w:highlight w:val="none"/>
        </w:rPr>
      </w:pPr>
      <w:r>
        <w:rPr>
          <w:rFonts w:hint="eastAsia"/>
          <w:b/>
          <w:bCs/>
          <w:color w:val="auto"/>
          <w:sz w:val="28"/>
          <w:szCs w:val="28"/>
          <w:highlight w:val="none"/>
        </w:rPr>
        <w:t>采购代理机构：四川乾新招投标代理有限公司</w:t>
      </w:r>
    </w:p>
    <w:p>
      <w:pPr>
        <w:pStyle w:val="35"/>
        <w:spacing w:line="360" w:lineRule="auto"/>
        <w:ind w:left="2400" w:leftChars="1000"/>
        <w:rPr>
          <w:b/>
          <w:bCs/>
          <w:color w:val="auto"/>
          <w:sz w:val="28"/>
          <w:szCs w:val="28"/>
          <w:highlight w:val="none"/>
        </w:rPr>
      </w:pPr>
      <w:r>
        <w:rPr>
          <w:rFonts w:hint="eastAsia"/>
          <w:b/>
          <w:bCs/>
          <w:color w:val="auto"/>
          <w:sz w:val="28"/>
          <w:szCs w:val="28"/>
          <w:highlight w:val="none"/>
        </w:rPr>
        <w:t>文  件 编 制：由采购人和采购代理机构共同编制</w:t>
      </w:r>
    </w:p>
    <w:p>
      <w:pPr>
        <w:pStyle w:val="35"/>
        <w:spacing w:line="360" w:lineRule="auto"/>
        <w:jc w:val="center"/>
        <w:rPr>
          <w:b/>
          <w:bCs/>
          <w:color w:val="auto"/>
          <w:sz w:val="28"/>
          <w:szCs w:val="28"/>
          <w:highlight w:val="none"/>
        </w:rPr>
        <w:sectPr>
          <w:headerReference r:id="rId7" w:type="first"/>
          <w:footerReference r:id="rId9" w:type="first"/>
          <w:headerReference r:id="rId5" w:type="default"/>
          <w:headerReference r:id="rId6" w:type="even"/>
          <w:footerReference r:id="rId8" w:type="even"/>
          <w:pgSz w:w="11906" w:h="16838"/>
          <w:pgMar w:top="1440" w:right="1083" w:bottom="1440" w:left="1083" w:header="851" w:footer="992" w:gutter="0"/>
          <w:pgNumType w:start="0"/>
          <w:cols w:space="720" w:num="1"/>
          <w:titlePg/>
          <w:docGrid w:linePitch="312" w:charSpace="0"/>
        </w:sectPr>
      </w:pPr>
      <w:r>
        <w:rPr>
          <w:rFonts w:hint="eastAsia"/>
          <w:b/>
          <w:bCs/>
          <w:color w:val="auto"/>
          <w:sz w:val="28"/>
          <w:szCs w:val="28"/>
          <w:highlight w:val="none"/>
        </w:rPr>
        <w:t>2023年</w:t>
      </w:r>
      <w:r>
        <w:rPr>
          <w:rFonts w:hint="eastAsia"/>
          <w:b/>
          <w:bCs/>
          <w:color w:val="auto"/>
          <w:sz w:val="28"/>
          <w:szCs w:val="28"/>
          <w:highlight w:val="none"/>
          <w:lang w:val="en-US" w:eastAsia="zh-CN"/>
        </w:rPr>
        <w:t>10</w:t>
      </w:r>
      <w:r>
        <w:rPr>
          <w:rFonts w:hint="eastAsia"/>
          <w:b/>
          <w:bCs/>
          <w:color w:val="auto"/>
          <w:sz w:val="28"/>
          <w:szCs w:val="28"/>
          <w:highlight w:val="none"/>
        </w:rPr>
        <w:t>月</w:t>
      </w:r>
    </w:p>
    <w:p>
      <w:pPr>
        <w:pStyle w:val="35"/>
        <w:jc w:val="center"/>
        <w:rPr>
          <w:color w:val="auto"/>
          <w:highlight w:val="none"/>
        </w:rPr>
      </w:pPr>
      <w:r>
        <w:rPr>
          <w:rFonts w:hint="eastAsia"/>
          <w:color w:val="auto"/>
          <w:highlight w:val="none"/>
        </w:rPr>
        <w:t>目  录</w:t>
      </w:r>
      <w:bookmarkEnd w:id="0"/>
      <w:bookmarkEnd w:id="1"/>
    </w:p>
    <w:p>
      <w:pPr>
        <w:pStyle w:val="18"/>
        <w:tabs>
          <w:tab w:val="clear" w:pos="0"/>
        </w:tabs>
        <w:rPr>
          <w:color w:val="auto"/>
          <w:highlight w:val="none"/>
        </w:rPr>
      </w:pPr>
      <w:bookmarkStart w:id="3" w:name="_Toc26242"/>
      <w:bookmarkStart w:id="4" w:name="_Toc15794"/>
      <w:bookmarkStart w:id="5" w:name="_Toc28748"/>
      <w:r>
        <w:rPr>
          <w:color w:val="auto"/>
          <w:highlight w:val="none"/>
        </w:rPr>
        <w:fldChar w:fldCharType="begin"/>
      </w:r>
      <w:r>
        <w:rPr>
          <w:color w:val="auto"/>
          <w:highlight w:val="none"/>
        </w:rPr>
        <w:instrText xml:space="preserve">TOC \o "1-3" \h \u </w:instrText>
      </w:r>
      <w:r>
        <w:rPr>
          <w:color w:val="auto"/>
          <w:highlight w:val="none"/>
        </w:rPr>
        <w:fldChar w:fldCharType="separate"/>
      </w:r>
      <w:r>
        <w:rPr>
          <w:color w:val="auto"/>
          <w:highlight w:val="none"/>
        </w:rPr>
        <w:fldChar w:fldCharType="begin"/>
      </w:r>
      <w:r>
        <w:rPr>
          <w:color w:val="auto"/>
          <w:highlight w:val="none"/>
        </w:rPr>
        <w:instrText xml:space="preserve"> HYPERLINK \l _Toc26358 </w:instrText>
      </w:r>
      <w:r>
        <w:rPr>
          <w:color w:val="auto"/>
          <w:highlight w:val="none"/>
        </w:rPr>
        <w:fldChar w:fldCharType="separate"/>
      </w:r>
      <w:r>
        <w:rPr>
          <w:rFonts w:hint="eastAsia" w:ascii="宋体" w:hAnsi="宋体" w:eastAsia="宋体" w:cs="宋体"/>
          <w:color w:val="auto"/>
          <w:highlight w:val="none"/>
        </w:rPr>
        <w:t xml:space="preserve">第一章 </w:t>
      </w:r>
      <w:r>
        <w:rPr>
          <w:rFonts w:hint="eastAsia"/>
          <w:color w:val="auto"/>
          <w:highlight w:val="none"/>
        </w:rPr>
        <w:t>投标邀请</w:t>
      </w:r>
      <w:r>
        <w:rPr>
          <w:color w:val="auto"/>
          <w:highlight w:val="none"/>
        </w:rPr>
        <w:tab/>
      </w:r>
      <w:r>
        <w:rPr>
          <w:color w:val="auto"/>
          <w:highlight w:val="none"/>
        </w:rPr>
        <w:fldChar w:fldCharType="begin"/>
      </w:r>
      <w:r>
        <w:rPr>
          <w:color w:val="auto"/>
          <w:highlight w:val="none"/>
        </w:rPr>
        <w:instrText xml:space="preserve"> PAGEREF _Toc26358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18"/>
        <w:tabs>
          <w:tab w:val="clear" w:pos="0"/>
        </w:tabs>
        <w:rPr>
          <w:color w:val="auto"/>
          <w:highlight w:val="none"/>
        </w:rPr>
      </w:pPr>
      <w:r>
        <w:rPr>
          <w:color w:val="auto"/>
          <w:highlight w:val="none"/>
        </w:rPr>
        <w:fldChar w:fldCharType="begin"/>
      </w:r>
      <w:r>
        <w:rPr>
          <w:color w:val="auto"/>
          <w:highlight w:val="none"/>
        </w:rPr>
        <w:instrText xml:space="preserve"> HYPERLINK \l _Toc7297 </w:instrText>
      </w:r>
      <w:r>
        <w:rPr>
          <w:color w:val="auto"/>
          <w:highlight w:val="none"/>
        </w:rPr>
        <w:fldChar w:fldCharType="separate"/>
      </w:r>
      <w:r>
        <w:rPr>
          <w:rFonts w:hint="eastAsia" w:ascii="宋体" w:hAnsi="宋体" w:eastAsia="宋体" w:cs="宋体"/>
          <w:color w:val="auto"/>
          <w:highlight w:val="none"/>
        </w:rPr>
        <w:t xml:space="preserve">第二章 </w:t>
      </w:r>
      <w:r>
        <w:rPr>
          <w:rFonts w:hint="eastAsia"/>
          <w:color w:val="auto"/>
          <w:highlight w:val="none"/>
        </w:rPr>
        <w:t>投标人须知</w:t>
      </w:r>
      <w:r>
        <w:rPr>
          <w:color w:val="auto"/>
          <w:highlight w:val="none"/>
        </w:rPr>
        <w:tab/>
      </w:r>
      <w:r>
        <w:rPr>
          <w:color w:val="auto"/>
          <w:highlight w:val="none"/>
        </w:rPr>
        <w:fldChar w:fldCharType="begin"/>
      </w:r>
      <w:r>
        <w:rPr>
          <w:color w:val="auto"/>
          <w:highlight w:val="none"/>
        </w:rPr>
        <w:instrText xml:space="preserve"> PAGEREF _Toc7297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_Toc24491 </w:instrText>
      </w:r>
      <w:r>
        <w:rPr>
          <w:color w:val="auto"/>
          <w:highlight w:val="none"/>
        </w:rPr>
        <w:fldChar w:fldCharType="separate"/>
      </w:r>
      <w:r>
        <w:rPr>
          <w:rFonts w:hint="eastAsia"/>
          <w:color w:val="auto"/>
          <w:highlight w:val="none"/>
        </w:rPr>
        <w:t>一、 投标人须知前附表</w:t>
      </w:r>
      <w:r>
        <w:rPr>
          <w:color w:val="auto"/>
          <w:highlight w:val="none"/>
        </w:rPr>
        <w:tab/>
      </w:r>
      <w:r>
        <w:rPr>
          <w:color w:val="auto"/>
          <w:highlight w:val="none"/>
        </w:rPr>
        <w:fldChar w:fldCharType="begin"/>
      </w:r>
      <w:r>
        <w:rPr>
          <w:color w:val="auto"/>
          <w:highlight w:val="none"/>
        </w:rPr>
        <w:instrText xml:space="preserve"> PAGEREF _Toc24491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_Toc27579 </w:instrText>
      </w:r>
      <w:r>
        <w:rPr>
          <w:color w:val="auto"/>
          <w:highlight w:val="none"/>
        </w:rPr>
        <w:fldChar w:fldCharType="separate"/>
      </w:r>
      <w:r>
        <w:rPr>
          <w:rFonts w:hint="eastAsia"/>
          <w:color w:val="auto"/>
          <w:highlight w:val="none"/>
        </w:rPr>
        <w:t>二、 总 则</w:t>
      </w:r>
      <w:r>
        <w:rPr>
          <w:color w:val="auto"/>
          <w:highlight w:val="none"/>
        </w:rPr>
        <w:tab/>
      </w:r>
      <w:r>
        <w:rPr>
          <w:color w:val="auto"/>
          <w:highlight w:val="none"/>
        </w:rPr>
        <w:fldChar w:fldCharType="begin"/>
      </w:r>
      <w:r>
        <w:rPr>
          <w:color w:val="auto"/>
          <w:highlight w:val="none"/>
        </w:rPr>
        <w:instrText xml:space="preserve"> PAGEREF _Toc27579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_Toc1044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适用范围</w:t>
      </w:r>
      <w:r>
        <w:rPr>
          <w:color w:val="auto"/>
          <w:highlight w:val="none"/>
        </w:rPr>
        <w:tab/>
      </w:r>
      <w:r>
        <w:rPr>
          <w:color w:val="auto"/>
          <w:highlight w:val="none"/>
        </w:rPr>
        <w:fldChar w:fldCharType="begin"/>
      </w:r>
      <w:r>
        <w:rPr>
          <w:color w:val="auto"/>
          <w:highlight w:val="none"/>
        </w:rPr>
        <w:instrText xml:space="preserve"> PAGEREF _Toc1044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_Toc3554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有关定义</w:t>
      </w:r>
      <w:r>
        <w:rPr>
          <w:color w:val="auto"/>
          <w:highlight w:val="none"/>
        </w:rPr>
        <w:tab/>
      </w:r>
      <w:r>
        <w:rPr>
          <w:color w:val="auto"/>
          <w:highlight w:val="none"/>
        </w:rPr>
        <w:fldChar w:fldCharType="begin"/>
      </w:r>
      <w:r>
        <w:rPr>
          <w:color w:val="auto"/>
          <w:highlight w:val="none"/>
        </w:rPr>
        <w:instrText xml:space="preserve"> PAGEREF _Toc3554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_Toc7833 </w:instrText>
      </w:r>
      <w:r>
        <w:rPr>
          <w:color w:val="auto"/>
          <w:highlight w:val="none"/>
        </w:rPr>
        <w:fldChar w:fldCharType="separate"/>
      </w:r>
      <w:r>
        <w:rPr>
          <w:rFonts w:hint="eastAsia" w:ascii="宋体" w:hAnsi="宋体" w:eastAsia="宋体" w:cs="宋体"/>
          <w:color w:val="auto"/>
          <w:highlight w:val="none"/>
        </w:rPr>
        <w:t xml:space="preserve">(三) </w:t>
      </w:r>
      <w:r>
        <w:rPr>
          <w:rFonts w:hint="eastAsia"/>
          <w:color w:val="auto"/>
          <w:highlight w:val="none"/>
        </w:rPr>
        <w:t>合格的投标人(实质性要求)</w:t>
      </w:r>
      <w:r>
        <w:rPr>
          <w:color w:val="auto"/>
          <w:highlight w:val="none"/>
        </w:rPr>
        <w:tab/>
      </w:r>
      <w:r>
        <w:rPr>
          <w:color w:val="auto"/>
          <w:highlight w:val="none"/>
        </w:rPr>
        <w:fldChar w:fldCharType="begin"/>
      </w:r>
      <w:r>
        <w:rPr>
          <w:color w:val="auto"/>
          <w:highlight w:val="none"/>
        </w:rPr>
        <w:instrText xml:space="preserve"> PAGEREF _Toc7833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_Toc11773 </w:instrText>
      </w:r>
      <w:r>
        <w:rPr>
          <w:color w:val="auto"/>
          <w:highlight w:val="none"/>
        </w:rPr>
        <w:fldChar w:fldCharType="separate"/>
      </w:r>
      <w:r>
        <w:rPr>
          <w:rFonts w:hint="eastAsia" w:ascii="宋体" w:hAnsi="宋体" w:eastAsia="宋体" w:cs="宋体"/>
          <w:color w:val="auto"/>
          <w:highlight w:val="none"/>
        </w:rPr>
        <w:t xml:space="preserve">(四) </w:t>
      </w:r>
      <w:r>
        <w:rPr>
          <w:rFonts w:hint="eastAsia"/>
          <w:color w:val="auto"/>
          <w:highlight w:val="none"/>
        </w:rPr>
        <w:t>投标费用(实质性要求)</w:t>
      </w:r>
      <w:r>
        <w:rPr>
          <w:color w:val="auto"/>
          <w:highlight w:val="none"/>
        </w:rPr>
        <w:tab/>
      </w:r>
      <w:r>
        <w:rPr>
          <w:color w:val="auto"/>
          <w:highlight w:val="none"/>
        </w:rPr>
        <w:fldChar w:fldCharType="begin"/>
      </w:r>
      <w:r>
        <w:rPr>
          <w:color w:val="auto"/>
          <w:highlight w:val="none"/>
        </w:rPr>
        <w:instrText xml:space="preserve"> PAGEREF _Toc11773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_Toc5991 </w:instrText>
      </w:r>
      <w:r>
        <w:rPr>
          <w:color w:val="auto"/>
          <w:highlight w:val="none"/>
        </w:rPr>
        <w:fldChar w:fldCharType="separate"/>
      </w:r>
      <w:r>
        <w:rPr>
          <w:rFonts w:hint="eastAsia" w:ascii="宋体" w:hAnsi="宋体" w:eastAsia="宋体" w:cs="宋体"/>
          <w:color w:val="auto"/>
          <w:highlight w:val="none"/>
        </w:rPr>
        <w:t xml:space="preserve">(五) </w:t>
      </w:r>
      <w:r>
        <w:rPr>
          <w:rFonts w:hint="eastAsia"/>
          <w:color w:val="auto"/>
          <w:highlight w:val="none"/>
        </w:rPr>
        <w:t>充分、公平竞争保障措施(实质性要求)</w:t>
      </w:r>
      <w:r>
        <w:rPr>
          <w:color w:val="auto"/>
          <w:highlight w:val="none"/>
        </w:rPr>
        <w:tab/>
      </w:r>
      <w:r>
        <w:rPr>
          <w:color w:val="auto"/>
          <w:highlight w:val="none"/>
        </w:rPr>
        <w:fldChar w:fldCharType="begin"/>
      </w:r>
      <w:r>
        <w:rPr>
          <w:color w:val="auto"/>
          <w:highlight w:val="none"/>
        </w:rPr>
        <w:instrText xml:space="preserve"> PAGEREF _Toc5991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_Toc16348 </w:instrText>
      </w:r>
      <w:r>
        <w:rPr>
          <w:color w:val="auto"/>
          <w:highlight w:val="none"/>
        </w:rPr>
        <w:fldChar w:fldCharType="separate"/>
      </w:r>
      <w:r>
        <w:rPr>
          <w:rFonts w:hint="eastAsia"/>
          <w:color w:val="auto"/>
          <w:highlight w:val="none"/>
        </w:rPr>
        <w:t>三、 招标文件</w:t>
      </w:r>
      <w:r>
        <w:rPr>
          <w:color w:val="auto"/>
          <w:highlight w:val="none"/>
        </w:rPr>
        <w:tab/>
      </w:r>
      <w:r>
        <w:rPr>
          <w:color w:val="auto"/>
          <w:highlight w:val="none"/>
        </w:rPr>
        <w:fldChar w:fldCharType="begin"/>
      </w:r>
      <w:r>
        <w:rPr>
          <w:color w:val="auto"/>
          <w:highlight w:val="none"/>
        </w:rPr>
        <w:instrText xml:space="preserve"> PAGEREF _Toc16348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_Toc22035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招标文件的构成</w:t>
      </w:r>
      <w:r>
        <w:rPr>
          <w:color w:val="auto"/>
          <w:highlight w:val="none"/>
        </w:rPr>
        <w:tab/>
      </w:r>
      <w:r>
        <w:rPr>
          <w:color w:val="auto"/>
          <w:highlight w:val="none"/>
        </w:rPr>
        <w:fldChar w:fldCharType="begin"/>
      </w:r>
      <w:r>
        <w:rPr>
          <w:color w:val="auto"/>
          <w:highlight w:val="none"/>
        </w:rPr>
        <w:instrText xml:space="preserve"> PAGEREF _Toc22035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_Toc27550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招标文件的澄清和修改</w:t>
      </w:r>
      <w:r>
        <w:rPr>
          <w:color w:val="auto"/>
          <w:highlight w:val="none"/>
        </w:rPr>
        <w:tab/>
      </w:r>
      <w:r>
        <w:rPr>
          <w:color w:val="auto"/>
          <w:highlight w:val="none"/>
        </w:rPr>
        <w:fldChar w:fldCharType="begin"/>
      </w:r>
      <w:r>
        <w:rPr>
          <w:color w:val="auto"/>
          <w:highlight w:val="none"/>
        </w:rPr>
        <w:instrText xml:space="preserve"> PAGEREF _Toc27550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_Toc32319 </w:instrText>
      </w:r>
      <w:r>
        <w:rPr>
          <w:color w:val="auto"/>
          <w:highlight w:val="none"/>
        </w:rPr>
        <w:fldChar w:fldCharType="separate"/>
      </w:r>
      <w:r>
        <w:rPr>
          <w:rFonts w:hint="eastAsia" w:ascii="宋体" w:hAnsi="宋体" w:eastAsia="宋体" w:cs="宋体"/>
          <w:color w:val="auto"/>
          <w:highlight w:val="none"/>
        </w:rPr>
        <w:t xml:space="preserve">(三) </w:t>
      </w:r>
      <w:r>
        <w:rPr>
          <w:rFonts w:hint="eastAsia"/>
          <w:color w:val="auto"/>
          <w:highlight w:val="none"/>
        </w:rPr>
        <w:t>答疑会和现场考察</w:t>
      </w:r>
      <w:r>
        <w:rPr>
          <w:color w:val="auto"/>
          <w:highlight w:val="none"/>
        </w:rPr>
        <w:tab/>
      </w:r>
      <w:r>
        <w:rPr>
          <w:color w:val="auto"/>
          <w:highlight w:val="none"/>
        </w:rPr>
        <w:fldChar w:fldCharType="begin"/>
      </w:r>
      <w:r>
        <w:rPr>
          <w:color w:val="auto"/>
          <w:highlight w:val="none"/>
        </w:rPr>
        <w:instrText xml:space="preserve"> PAGEREF _Toc32319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_Toc27956 </w:instrText>
      </w:r>
      <w:r>
        <w:rPr>
          <w:color w:val="auto"/>
          <w:highlight w:val="none"/>
        </w:rPr>
        <w:fldChar w:fldCharType="separate"/>
      </w:r>
      <w:r>
        <w:rPr>
          <w:rFonts w:hint="eastAsia"/>
          <w:color w:val="auto"/>
          <w:highlight w:val="none"/>
        </w:rPr>
        <w:t>四、 投标文件</w:t>
      </w:r>
      <w:r>
        <w:rPr>
          <w:color w:val="auto"/>
          <w:highlight w:val="none"/>
        </w:rPr>
        <w:tab/>
      </w:r>
      <w:r>
        <w:rPr>
          <w:color w:val="auto"/>
          <w:highlight w:val="none"/>
        </w:rPr>
        <w:fldChar w:fldCharType="begin"/>
      </w:r>
      <w:r>
        <w:rPr>
          <w:color w:val="auto"/>
          <w:highlight w:val="none"/>
        </w:rPr>
        <w:instrText xml:space="preserve"> PAGEREF _Toc27956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_Toc20379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投标文件的语言(实质性要求)</w:t>
      </w:r>
      <w:r>
        <w:rPr>
          <w:color w:val="auto"/>
          <w:highlight w:val="none"/>
        </w:rPr>
        <w:tab/>
      </w:r>
      <w:r>
        <w:rPr>
          <w:color w:val="auto"/>
          <w:highlight w:val="none"/>
        </w:rPr>
        <w:fldChar w:fldCharType="begin"/>
      </w:r>
      <w:r>
        <w:rPr>
          <w:color w:val="auto"/>
          <w:highlight w:val="none"/>
        </w:rPr>
        <w:instrText xml:space="preserve"> PAGEREF _Toc20379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_Toc17607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计量单位(实质性要求)</w:t>
      </w:r>
      <w:r>
        <w:rPr>
          <w:color w:val="auto"/>
          <w:highlight w:val="none"/>
        </w:rPr>
        <w:tab/>
      </w:r>
      <w:r>
        <w:rPr>
          <w:color w:val="auto"/>
          <w:highlight w:val="none"/>
        </w:rPr>
        <w:fldChar w:fldCharType="begin"/>
      </w:r>
      <w:r>
        <w:rPr>
          <w:color w:val="auto"/>
          <w:highlight w:val="none"/>
        </w:rPr>
        <w:instrText xml:space="preserve"> PAGEREF _Toc17607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_Toc20877 </w:instrText>
      </w:r>
      <w:r>
        <w:rPr>
          <w:color w:val="auto"/>
          <w:highlight w:val="none"/>
        </w:rPr>
        <w:fldChar w:fldCharType="separate"/>
      </w:r>
      <w:r>
        <w:rPr>
          <w:rFonts w:hint="eastAsia" w:ascii="宋体" w:hAnsi="宋体" w:eastAsia="宋体" w:cs="宋体"/>
          <w:color w:val="auto"/>
          <w:highlight w:val="none"/>
        </w:rPr>
        <w:t xml:space="preserve">(三) </w:t>
      </w:r>
      <w:r>
        <w:rPr>
          <w:rFonts w:hint="eastAsia"/>
          <w:color w:val="auto"/>
          <w:highlight w:val="none"/>
        </w:rPr>
        <w:t>投标货币(实质性要求)</w:t>
      </w:r>
      <w:r>
        <w:rPr>
          <w:color w:val="auto"/>
          <w:highlight w:val="none"/>
        </w:rPr>
        <w:tab/>
      </w:r>
      <w:r>
        <w:rPr>
          <w:color w:val="auto"/>
          <w:highlight w:val="none"/>
        </w:rPr>
        <w:fldChar w:fldCharType="begin"/>
      </w:r>
      <w:r>
        <w:rPr>
          <w:color w:val="auto"/>
          <w:highlight w:val="none"/>
        </w:rPr>
        <w:instrText xml:space="preserve"> PAGEREF _Toc20877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_Toc25097 </w:instrText>
      </w:r>
      <w:r>
        <w:rPr>
          <w:color w:val="auto"/>
          <w:highlight w:val="none"/>
        </w:rPr>
        <w:fldChar w:fldCharType="separate"/>
      </w:r>
      <w:r>
        <w:rPr>
          <w:rFonts w:hint="eastAsia" w:ascii="宋体" w:hAnsi="宋体" w:eastAsia="宋体" w:cs="宋体"/>
          <w:color w:val="auto"/>
          <w:highlight w:val="none"/>
        </w:rPr>
        <w:t xml:space="preserve">(四) </w:t>
      </w:r>
      <w:r>
        <w:rPr>
          <w:rFonts w:hint="eastAsia"/>
          <w:color w:val="auto"/>
          <w:highlight w:val="none"/>
        </w:rPr>
        <w:t>联合体投标(实质性要求)</w:t>
      </w:r>
      <w:r>
        <w:rPr>
          <w:color w:val="auto"/>
          <w:highlight w:val="none"/>
        </w:rPr>
        <w:tab/>
      </w:r>
      <w:r>
        <w:rPr>
          <w:color w:val="auto"/>
          <w:highlight w:val="none"/>
        </w:rPr>
        <w:fldChar w:fldCharType="begin"/>
      </w:r>
      <w:r>
        <w:rPr>
          <w:color w:val="auto"/>
          <w:highlight w:val="none"/>
        </w:rPr>
        <w:instrText xml:space="preserve"> PAGEREF _Toc25097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_Toc22809 </w:instrText>
      </w:r>
      <w:r>
        <w:rPr>
          <w:color w:val="auto"/>
          <w:highlight w:val="none"/>
        </w:rPr>
        <w:fldChar w:fldCharType="separate"/>
      </w:r>
      <w:r>
        <w:rPr>
          <w:rFonts w:hint="eastAsia" w:ascii="宋体" w:hAnsi="宋体" w:eastAsia="宋体" w:cs="宋体"/>
          <w:color w:val="auto"/>
          <w:highlight w:val="none"/>
        </w:rPr>
        <w:t xml:space="preserve">(五) </w:t>
      </w:r>
      <w:r>
        <w:rPr>
          <w:rFonts w:hint="eastAsia"/>
          <w:color w:val="auto"/>
          <w:highlight w:val="none"/>
        </w:rPr>
        <w:t>知识产权(实质性要求)</w:t>
      </w:r>
      <w:r>
        <w:rPr>
          <w:color w:val="auto"/>
          <w:highlight w:val="none"/>
        </w:rPr>
        <w:tab/>
      </w:r>
      <w:r>
        <w:rPr>
          <w:color w:val="auto"/>
          <w:highlight w:val="none"/>
        </w:rPr>
        <w:fldChar w:fldCharType="begin"/>
      </w:r>
      <w:r>
        <w:rPr>
          <w:color w:val="auto"/>
          <w:highlight w:val="none"/>
        </w:rPr>
        <w:instrText xml:space="preserve"> PAGEREF _Toc22809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_Toc21389 </w:instrText>
      </w:r>
      <w:r>
        <w:rPr>
          <w:color w:val="auto"/>
          <w:highlight w:val="none"/>
        </w:rPr>
        <w:fldChar w:fldCharType="separate"/>
      </w:r>
      <w:r>
        <w:rPr>
          <w:rFonts w:hint="eastAsia" w:ascii="宋体" w:hAnsi="宋体" w:eastAsia="宋体" w:cs="宋体"/>
          <w:color w:val="auto"/>
          <w:highlight w:val="none"/>
        </w:rPr>
        <w:t xml:space="preserve">(六) </w:t>
      </w:r>
      <w:r>
        <w:rPr>
          <w:rFonts w:hint="eastAsia"/>
          <w:color w:val="auto"/>
          <w:highlight w:val="none"/>
        </w:rPr>
        <w:t>投标文件的组成</w:t>
      </w:r>
      <w:r>
        <w:rPr>
          <w:color w:val="auto"/>
          <w:highlight w:val="none"/>
        </w:rPr>
        <w:tab/>
      </w:r>
      <w:r>
        <w:rPr>
          <w:color w:val="auto"/>
          <w:highlight w:val="none"/>
        </w:rPr>
        <w:fldChar w:fldCharType="begin"/>
      </w:r>
      <w:r>
        <w:rPr>
          <w:color w:val="auto"/>
          <w:highlight w:val="none"/>
        </w:rPr>
        <w:instrText xml:space="preserve"> PAGEREF _Toc21389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_Toc31162 </w:instrText>
      </w:r>
      <w:r>
        <w:rPr>
          <w:color w:val="auto"/>
          <w:highlight w:val="none"/>
        </w:rPr>
        <w:fldChar w:fldCharType="separate"/>
      </w:r>
      <w:r>
        <w:rPr>
          <w:rFonts w:hint="eastAsia" w:ascii="宋体" w:hAnsi="宋体" w:eastAsia="宋体" w:cs="宋体"/>
          <w:color w:val="auto"/>
          <w:highlight w:val="none"/>
        </w:rPr>
        <w:t xml:space="preserve">(七) </w:t>
      </w:r>
      <w:r>
        <w:rPr>
          <w:rFonts w:hint="eastAsia"/>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_Toc31162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_Toc26953 </w:instrText>
      </w:r>
      <w:r>
        <w:rPr>
          <w:color w:val="auto"/>
          <w:highlight w:val="none"/>
        </w:rPr>
        <w:fldChar w:fldCharType="separate"/>
      </w:r>
      <w:r>
        <w:rPr>
          <w:rFonts w:hint="eastAsia" w:ascii="宋体" w:hAnsi="宋体" w:eastAsia="宋体" w:cs="宋体"/>
          <w:color w:val="auto"/>
          <w:highlight w:val="none"/>
        </w:rPr>
        <w:t xml:space="preserve">(八) </w:t>
      </w:r>
      <w:r>
        <w:rPr>
          <w:rFonts w:hint="eastAsia"/>
          <w:color w:val="auto"/>
          <w:highlight w:val="none"/>
        </w:rPr>
        <w:t>投标保证金</w:t>
      </w:r>
      <w:r>
        <w:rPr>
          <w:rFonts w:hint="eastAsia" w:ascii="宋体" w:hAnsi="宋体" w:eastAsia="宋体" w:cs="宋体"/>
          <w:color w:val="auto"/>
          <w:highlight w:val="none"/>
        </w:rPr>
        <w:t>(实质性要求)</w:t>
      </w:r>
      <w:r>
        <w:rPr>
          <w:color w:val="auto"/>
          <w:highlight w:val="none"/>
        </w:rPr>
        <w:tab/>
      </w:r>
      <w:r>
        <w:rPr>
          <w:color w:val="auto"/>
          <w:highlight w:val="none"/>
        </w:rPr>
        <w:fldChar w:fldCharType="begin"/>
      </w:r>
      <w:r>
        <w:rPr>
          <w:color w:val="auto"/>
          <w:highlight w:val="none"/>
        </w:rPr>
        <w:instrText xml:space="preserve"> PAGEREF _Toc26953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_Toc19531 </w:instrText>
      </w:r>
      <w:r>
        <w:rPr>
          <w:color w:val="auto"/>
          <w:highlight w:val="none"/>
        </w:rPr>
        <w:fldChar w:fldCharType="separate"/>
      </w:r>
      <w:r>
        <w:rPr>
          <w:rFonts w:hint="eastAsia" w:ascii="宋体" w:hAnsi="宋体" w:eastAsia="宋体" w:cs="宋体"/>
          <w:color w:val="auto"/>
          <w:highlight w:val="none"/>
        </w:rPr>
        <w:t xml:space="preserve">(九) </w:t>
      </w:r>
      <w:r>
        <w:rPr>
          <w:rFonts w:hint="eastAsia"/>
          <w:color w:val="auto"/>
          <w:highlight w:val="none"/>
        </w:rPr>
        <w:t>投标有效期(实质性要求)</w:t>
      </w:r>
      <w:r>
        <w:rPr>
          <w:color w:val="auto"/>
          <w:highlight w:val="none"/>
        </w:rPr>
        <w:tab/>
      </w:r>
      <w:r>
        <w:rPr>
          <w:color w:val="auto"/>
          <w:highlight w:val="none"/>
        </w:rPr>
        <w:fldChar w:fldCharType="begin"/>
      </w:r>
      <w:r>
        <w:rPr>
          <w:color w:val="auto"/>
          <w:highlight w:val="none"/>
        </w:rPr>
        <w:instrText xml:space="preserve"> PAGEREF _Toc19531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_Toc18019 </w:instrText>
      </w:r>
      <w:r>
        <w:rPr>
          <w:color w:val="auto"/>
          <w:highlight w:val="none"/>
        </w:rPr>
        <w:fldChar w:fldCharType="separate"/>
      </w:r>
      <w:r>
        <w:rPr>
          <w:rFonts w:hint="eastAsia" w:ascii="宋体" w:hAnsi="宋体" w:eastAsia="宋体" w:cs="宋体"/>
          <w:color w:val="auto"/>
          <w:highlight w:val="none"/>
        </w:rPr>
        <w:t xml:space="preserve">(十) </w:t>
      </w:r>
      <w:r>
        <w:rPr>
          <w:rFonts w:hint="eastAsia"/>
          <w:color w:val="auto"/>
          <w:highlight w:val="none"/>
        </w:rPr>
        <w:t>投标文件的印制和签署</w:t>
      </w:r>
      <w:r>
        <w:rPr>
          <w:color w:val="auto"/>
          <w:highlight w:val="none"/>
        </w:rPr>
        <w:tab/>
      </w:r>
      <w:r>
        <w:rPr>
          <w:color w:val="auto"/>
          <w:highlight w:val="none"/>
        </w:rPr>
        <w:fldChar w:fldCharType="begin"/>
      </w:r>
      <w:r>
        <w:rPr>
          <w:color w:val="auto"/>
          <w:highlight w:val="none"/>
        </w:rPr>
        <w:instrText xml:space="preserve"> PAGEREF _Toc18019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_Toc1584 </w:instrText>
      </w:r>
      <w:r>
        <w:rPr>
          <w:color w:val="auto"/>
          <w:highlight w:val="none"/>
        </w:rPr>
        <w:fldChar w:fldCharType="separate"/>
      </w:r>
      <w:r>
        <w:rPr>
          <w:rFonts w:hint="eastAsia" w:ascii="宋体" w:hAnsi="宋体" w:eastAsia="宋体" w:cs="宋体"/>
          <w:color w:val="auto"/>
          <w:highlight w:val="none"/>
        </w:rPr>
        <w:t xml:space="preserve">(十一) </w:t>
      </w:r>
      <w:r>
        <w:rPr>
          <w:rFonts w:hint="eastAsia"/>
          <w:color w:val="auto"/>
          <w:highlight w:val="none"/>
        </w:rPr>
        <w:t>投标文件的密封和标注</w:t>
      </w:r>
      <w:r>
        <w:rPr>
          <w:color w:val="auto"/>
          <w:highlight w:val="none"/>
        </w:rPr>
        <w:tab/>
      </w:r>
      <w:r>
        <w:rPr>
          <w:color w:val="auto"/>
          <w:highlight w:val="none"/>
        </w:rPr>
        <w:fldChar w:fldCharType="begin"/>
      </w:r>
      <w:r>
        <w:rPr>
          <w:color w:val="auto"/>
          <w:highlight w:val="none"/>
        </w:rPr>
        <w:instrText xml:space="preserve"> PAGEREF _Toc1584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_Toc13888 </w:instrText>
      </w:r>
      <w:r>
        <w:rPr>
          <w:color w:val="auto"/>
          <w:highlight w:val="none"/>
        </w:rPr>
        <w:fldChar w:fldCharType="separate"/>
      </w:r>
      <w:r>
        <w:rPr>
          <w:rFonts w:hint="eastAsia" w:ascii="宋体" w:hAnsi="宋体" w:eastAsia="宋体" w:cs="宋体"/>
          <w:color w:val="auto"/>
          <w:highlight w:val="none"/>
        </w:rPr>
        <w:t xml:space="preserve">(十二) </w:t>
      </w:r>
      <w:r>
        <w:rPr>
          <w:rFonts w:hint="eastAsia"/>
          <w:color w:val="auto"/>
          <w:highlight w:val="none"/>
        </w:rPr>
        <w:t>投标文件的递交</w:t>
      </w:r>
      <w:r>
        <w:rPr>
          <w:color w:val="auto"/>
          <w:highlight w:val="none"/>
        </w:rPr>
        <w:tab/>
      </w:r>
      <w:r>
        <w:rPr>
          <w:color w:val="auto"/>
          <w:highlight w:val="none"/>
        </w:rPr>
        <w:fldChar w:fldCharType="begin"/>
      </w:r>
      <w:r>
        <w:rPr>
          <w:color w:val="auto"/>
          <w:highlight w:val="none"/>
        </w:rPr>
        <w:instrText xml:space="preserve"> PAGEREF _Toc13888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_Toc10903 </w:instrText>
      </w:r>
      <w:r>
        <w:rPr>
          <w:color w:val="auto"/>
          <w:highlight w:val="none"/>
        </w:rPr>
        <w:fldChar w:fldCharType="separate"/>
      </w:r>
      <w:r>
        <w:rPr>
          <w:rFonts w:hint="eastAsia" w:ascii="宋体" w:hAnsi="宋体" w:eastAsia="宋体" w:cs="宋体"/>
          <w:color w:val="auto"/>
          <w:highlight w:val="none"/>
        </w:rPr>
        <w:t xml:space="preserve">(十三) </w:t>
      </w:r>
      <w:r>
        <w:rPr>
          <w:rFonts w:hint="eastAsia"/>
          <w:color w:val="auto"/>
          <w:highlight w:val="none"/>
        </w:rPr>
        <w:t>投标文件的修改和撤回</w:t>
      </w:r>
      <w:r>
        <w:rPr>
          <w:color w:val="auto"/>
          <w:highlight w:val="none"/>
        </w:rPr>
        <w:tab/>
      </w:r>
      <w:r>
        <w:rPr>
          <w:color w:val="auto"/>
          <w:highlight w:val="none"/>
        </w:rPr>
        <w:fldChar w:fldCharType="begin"/>
      </w:r>
      <w:r>
        <w:rPr>
          <w:color w:val="auto"/>
          <w:highlight w:val="none"/>
        </w:rPr>
        <w:instrText xml:space="preserve"> PAGEREF _Toc10903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_Toc1835 </w:instrText>
      </w:r>
      <w:r>
        <w:rPr>
          <w:color w:val="auto"/>
          <w:highlight w:val="none"/>
        </w:rPr>
        <w:fldChar w:fldCharType="separate"/>
      </w:r>
      <w:r>
        <w:rPr>
          <w:rFonts w:hint="eastAsia"/>
          <w:color w:val="auto"/>
          <w:highlight w:val="none"/>
        </w:rPr>
        <w:t>五、 开标和中标</w:t>
      </w:r>
      <w:r>
        <w:rPr>
          <w:color w:val="auto"/>
          <w:highlight w:val="none"/>
        </w:rPr>
        <w:tab/>
      </w:r>
      <w:r>
        <w:rPr>
          <w:color w:val="auto"/>
          <w:highlight w:val="none"/>
        </w:rPr>
        <w:fldChar w:fldCharType="begin"/>
      </w:r>
      <w:r>
        <w:rPr>
          <w:color w:val="auto"/>
          <w:highlight w:val="none"/>
        </w:rPr>
        <w:instrText xml:space="preserve"> PAGEREF _Toc1835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_Toc12054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开标</w:t>
      </w:r>
      <w:r>
        <w:rPr>
          <w:color w:val="auto"/>
          <w:highlight w:val="none"/>
        </w:rPr>
        <w:tab/>
      </w:r>
      <w:r>
        <w:rPr>
          <w:color w:val="auto"/>
          <w:highlight w:val="none"/>
        </w:rPr>
        <w:fldChar w:fldCharType="begin"/>
      </w:r>
      <w:r>
        <w:rPr>
          <w:color w:val="auto"/>
          <w:highlight w:val="none"/>
        </w:rPr>
        <w:instrText xml:space="preserve"> PAGEREF _Toc12054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_Toc32525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开标程序</w:t>
      </w:r>
      <w:r>
        <w:rPr>
          <w:color w:val="auto"/>
          <w:highlight w:val="none"/>
        </w:rPr>
        <w:tab/>
      </w:r>
      <w:r>
        <w:rPr>
          <w:color w:val="auto"/>
          <w:highlight w:val="none"/>
        </w:rPr>
        <w:fldChar w:fldCharType="begin"/>
      </w:r>
      <w:r>
        <w:rPr>
          <w:color w:val="auto"/>
          <w:highlight w:val="none"/>
        </w:rPr>
        <w:instrText xml:space="preserve"> PAGEREF _Toc32525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_Toc30196 </w:instrText>
      </w:r>
      <w:r>
        <w:rPr>
          <w:color w:val="auto"/>
          <w:highlight w:val="none"/>
        </w:rPr>
        <w:fldChar w:fldCharType="separate"/>
      </w:r>
      <w:r>
        <w:rPr>
          <w:rFonts w:hint="eastAsia" w:ascii="宋体" w:hAnsi="宋体" w:eastAsia="宋体" w:cs="宋体"/>
          <w:color w:val="auto"/>
          <w:highlight w:val="none"/>
        </w:rPr>
        <w:t xml:space="preserve">(三) </w:t>
      </w:r>
      <w:r>
        <w:rPr>
          <w:rFonts w:hint="eastAsia"/>
          <w:color w:val="auto"/>
          <w:highlight w:val="none"/>
        </w:rPr>
        <w:t>开评标过程存档</w:t>
      </w:r>
      <w:r>
        <w:rPr>
          <w:color w:val="auto"/>
          <w:highlight w:val="none"/>
        </w:rPr>
        <w:tab/>
      </w:r>
      <w:r>
        <w:rPr>
          <w:color w:val="auto"/>
          <w:highlight w:val="none"/>
        </w:rPr>
        <w:fldChar w:fldCharType="begin"/>
      </w:r>
      <w:r>
        <w:rPr>
          <w:color w:val="auto"/>
          <w:highlight w:val="none"/>
        </w:rPr>
        <w:instrText xml:space="preserve"> PAGEREF _Toc30196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_Toc25355 </w:instrText>
      </w:r>
      <w:r>
        <w:rPr>
          <w:color w:val="auto"/>
          <w:highlight w:val="none"/>
        </w:rPr>
        <w:fldChar w:fldCharType="separate"/>
      </w:r>
      <w:r>
        <w:rPr>
          <w:rFonts w:hint="eastAsia" w:ascii="宋体" w:hAnsi="宋体" w:eastAsia="宋体" w:cs="宋体"/>
          <w:color w:val="auto"/>
          <w:highlight w:val="none"/>
        </w:rPr>
        <w:t xml:space="preserve">(四) </w:t>
      </w:r>
      <w:r>
        <w:rPr>
          <w:rFonts w:hint="eastAsia"/>
          <w:color w:val="auto"/>
          <w:highlight w:val="none"/>
        </w:rPr>
        <w:t>中标结果</w:t>
      </w:r>
      <w:r>
        <w:rPr>
          <w:color w:val="auto"/>
          <w:highlight w:val="none"/>
        </w:rPr>
        <w:tab/>
      </w:r>
      <w:r>
        <w:rPr>
          <w:color w:val="auto"/>
          <w:highlight w:val="none"/>
        </w:rPr>
        <w:fldChar w:fldCharType="begin"/>
      </w:r>
      <w:r>
        <w:rPr>
          <w:color w:val="auto"/>
          <w:highlight w:val="none"/>
        </w:rPr>
        <w:instrText xml:space="preserve"> PAGEREF _Toc25355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_Toc21458 </w:instrText>
      </w:r>
      <w:r>
        <w:rPr>
          <w:color w:val="auto"/>
          <w:highlight w:val="none"/>
        </w:rPr>
        <w:fldChar w:fldCharType="separate"/>
      </w:r>
      <w:r>
        <w:rPr>
          <w:rFonts w:hint="eastAsia" w:ascii="宋体" w:hAnsi="宋体" w:eastAsia="宋体" w:cs="宋体"/>
          <w:color w:val="auto"/>
          <w:highlight w:val="none"/>
        </w:rPr>
        <w:t xml:space="preserve">(五) </w:t>
      </w:r>
      <w:r>
        <w:rPr>
          <w:rFonts w:hint="eastAsia"/>
          <w:color w:val="auto"/>
          <w:highlight w:val="none"/>
        </w:rPr>
        <w:t>中标通知书</w:t>
      </w:r>
      <w:r>
        <w:rPr>
          <w:color w:val="auto"/>
          <w:highlight w:val="none"/>
        </w:rPr>
        <w:tab/>
      </w:r>
      <w:r>
        <w:rPr>
          <w:color w:val="auto"/>
          <w:highlight w:val="none"/>
        </w:rPr>
        <w:fldChar w:fldCharType="begin"/>
      </w:r>
      <w:r>
        <w:rPr>
          <w:color w:val="auto"/>
          <w:highlight w:val="none"/>
        </w:rPr>
        <w:instrText xml:space="preserve"> PAGEREF _Toc21458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_Toc4365 </w:instrText>
      </w:r>
      <w:r>
        <w:rPr>
          <w:color w:val="auto"/>
          <w:highlight w:val="none"/>
        </w:rPr>
        <w:fldChar w:fldCharType="separate"/>
      </w:r>
      <w:r>
        <w:rPr>
          <w:rFonts w:hint="eastAsia"/>
          <w:color w:val="auto"/>
          <w:highlight w:val="none"/>
        </w:rPr>
        <w:t>六、 签订及履行合同和验收</w:t>
      </w:r>
      <w:r>
        <w:rPr>
          <w:color w:val="auto"/>
          <w:highlight w:val="none"/>
        </w:rPr>
        <w:tab/>
      </w:r>
      <w:r>
        <w:rPr>
          <w:color w:val="auto"/>
          <w:highlight w:val="none"/>
        </w:rPr>
        <w:fldChar w:fldCharType="begin"/>
      </w:r>
      <w:r>
        <w:rPr>
          <w:color w:val="auto"/>
          <w:highlight w:val="none"/>
        </w:rPr>
        <w:instrText xml:space="preserve"> PAGEREF _Toc4365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_Toc17303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签订合同</w:t>
      </w:r>
      <w:r>
        <w:rPr>
          <w:color w:val="auto"/>
          <w:highlight w:val="none"/>
        </w:rPr>
        <w:tab/>
      </w:r>
      <w:r>
        <w:rPr>
          <w:color w:val="auto"/>
          <w:highlight w:val="none"/>
        </w:rPr>
        <w:fldChar w:fldCharType="begin"/>
      </w:r>
      <w:r>
        <w:rPr>
          <w:color w:val="auto"/>
          <w:highlight w:val="none"/>
        </w:rPr>
        <w:instrText xml:space="preserve"> PAGEREF _Toc17303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_Toc25208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合同分包(实质性要求)</w:t>
      </w:r>
      <w:r>
        <w:rPr>
          <w:color w:val="auto"/>
          <w:highlight w:val="none"/>
        </w:rPr>
        <w:tab/>
      </w:r>
      <w:r>
        <w:rPr>
          <w:color w:val="auto"/>
          <w:highlight w:val="none"/>
        </w:rPr>
        <w:fldChar w:fldCharType="begin"/>
      </w:r>
      <w:r>
        <w:rPr>
          <w:color w:val="auto"/>
          <w:highlight w:val="none"/>
        </w:rPr>
        <w:instrText xml:space="preserve"> PAGEREF _Toc25208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_Toc17100 </w:instrText>
      </w:r>
      <w:r>
        <w:rPr>
          <w:color w:val="auto"/>
          <w:highlight w:val="none"/>
        </w:rPr>
        <w:fldChar w:fldCharType="separate"/>
      </w:r>
      <w:r>
        <w:rPr>
          <w:rFonts w:hint="eastAsia" w:ascii="宋体" w:hAnsi="宋体" w:eastAsia="宋体" w:cs="宋体"/>
          <w:color w:val="auto"/>
          <w:highlight w:val="none"/>
        </w:rPr>
        <w:t xml:space="preserve">(三) </w:t>
      </w:r>
      <w:r>
        <w:rPr>
          <w:rFonts w:hint="eastAsia"/>
          <w:color w:val="auto"/>
          <w:highlight w:val="none"/>
        </w:rPr>
        <w:t>合同转包(实质性要求)</w:t>
      </w:r>
      <w:r>
        <w:rPr>
          <w:color w:val="auto"/>
          <w:highlight w:val="none"/>
        </w:rPr>
        <w:tab/>
      </w:r>
      <w:r>
        <w:rPr>
          <w:color w:val="auto"/>
          <w:highlight w:val="none"/>
        </w:rPr>
        <w:fldChar w:fldCharType="begin"/>
      </w:r>
      <w:r>
        <w:rPr>
          <w:color w:val="auto"/>
          <w:highlight w:val="none"/>
        </w:rPr>
        <w:instrText xml:space="preserve"> PAGEREF _Toc17100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_Toc2455 </w:instrText>
      </w:r>
      <w:r>
        <w:rPr>
          <w:color w:val="auto"/>
          <w:highlight w:val="none"/>
        </w:rPr>
        <w:fldChar w:fldCharType="separate"/>
      </w:r>
      <w:r>
        <w:rPr>
          <w:rFonts w:hint="eastAsia" w:ascii="宋体" w:hAnsi="宋体" w:eastAsia="宋体" w:cs="宋体"/>
          <w:color w:val="auto"/>
          <w:highlight w:val="none"/>
        </w:rPr>
        <w:t xml:space="preserve">(四) </w:t>
      </w:r>
      <w:r>
        <w:rPr>
          <w:rFonts w:hint="eastAsia"/>
          <w:color w:val="auto"/>
          <w:highlight w:val="none"/>
        </w:rPr>
        <w:t>补充合同</w:t>
      </w:r>
      <w:r>
        <w:rPr>
          <w:color w:val="auto"/>
          <w:highlight w:val="none"/>
        </w:rPr>
        <w:tab/>
      </w:r>
      <w:r>
        <w:rPr>
          <w:color w:val="auto"/>
          <w:highlight w:val="none"/>
        </w:rPr>
        <w:fldChar w:fldCharType="begin"/>
      </w:r>
      <w:r>
        <w:rPr>
          <w:color w:val="auto"/>
          <w:highlight w:val="none"/>
        </w:rPr>
        <w:instrText xml:space="preserve"> PAGEREF _Toc2455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_Toc25038 </w:instrText>
      </w:r>
      <w:r>
        <w:rPr>
          <w:color w:val="auto"/>
          <w:highlight w:val="none"/>
        </w:rPr>
        <w:fldChar w:fldCharType="separate"/>
      </w:r>
      <w:r>
        <w:rPr>
          <w:rFonts w:hint="eastAsia" w:ascii="宋体" w:hAnsi="宋体" w:eastAsia="宋体" w:cs="宋体"/>
          <w:color w:val="auto"/>
          <w:highlight w:val="none"/>
        </w:rPr>
        <w:t xml:space="preserve">(五) </w:t>
      </w:r>
      <w:r>
        <w:rPr>
          <w:rFonts w:hint="eastAsia"/>
          <w:color w:val="auto"/>
          <w:highlight w:val="none"/>
        </w:rPr>
        <w:t>履约保证金(实质性要求)</w:t>
      </w:r>
      <w:r>
        <w:rPr>
          <w:color w:val="auto"/>
          <w:highlight w:val="none"/>
        </w:rPr>
        <w:tab/>
      </w:r>
      <w:r>
        <w:rPr>
          <w:color w:val="auto"/>
          <w:highlight w:val="none"/>
        </w:rPr>
        <w:fldChar w:fldCharType="begin"/>
      </w:r>
      <w:r>
        <w:rPr>
          <w:color w:val="auto"/>
          <w:highlight w:val="none"/>
        </w:rPr>
        <w:instrText xml:space="preserve"> PAGEREF _Toc25038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_Toc26515 </w:instrText>
      </w:r>
      <w:r>
        <w:rPr>
          <w:color w:val="auto"/>
          <w:highlight w:val="none"/>
        </w:rPr>
        <w:fldChar w:fldCharType="separate"/>
      </w:r>
      <w:r>
        <w:rPr>
          <w:rFonts w:hint="eastAsia" w:ascii="宋体" w:hAnsi="宋体" w:eastAsia="宋体" w:cs="宋体"/>
          <w:color w:val="auto"/>
          <w:highlight w:val="none"/>
        </w:rPr>
        <w:t xml:space="preserve">(六) </w:t>
      </w:r>
      <w:r>
        <w:rPr>
          <w:rFonts w:hint="eastAsia"/>
          <w:color w:val="auto"/>
          <w:highlight w:val="none"/>
        </w:rPr>
        <w:t>履行合同</w:t>
      </w:r>
      <w:r>
        <w:rPr>
          <w:color w:val="auto"/>
          <w:highlight w:val="none"/>
        </w:rPr>
        <w:tab/>
      </w:r>
      <w:r>
        <w:rPr>
          <w:color w:val="auto"/>
          <w:highlight w:val="none"/>
        </w:rPr>
        <w:fldChar w:fldCharType="begin"/>
      </w:r>
      <w:r>
        <w:rPr>
          <w:color w:val="auto"/>
          <w:highlight w:val="none"/>
        </w:rPr>
        <w:instrText xml:space="preserve"> PAGEREF _Toc26515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_Toc11893 </w:instrText>
      </w:r>
      <w:r>
        <w:rPr>
          <w:color w:val="auto"/>
          <w:highlight w:val="none"/>
        </w:rPr>
        <w:fldChar w:fldCharType="separate"/>
      </w:r>
      <w:r>
        <w:rPr>
          <w:rFonts w:hint="eastAsia" w:ascii="宋体" w:hAnsi="宋体" w:eastAsia="宋体" w:cs="宋体"/>
          <w:color w:val="auto"/>
          <w:highlight w:val="none"/>
        </w:rPr>
        <w:t xml:space="preserve">(七) </w:t>
      </w:r>
      <w:r>
        <w:rPr>
          <w:rFonts w:hint="eastAsia"/>
          <w:color w:val="auto"/>
          <w:highlight w:val="none"/>
        </w:rPr>
        <w:t>验收</w:t>
      </w:r>
      <w:r>
        <w:rPr>
          <w:color w:val="auto"/>
          <w:highlight w:val="none"/>
        </w:rPr>
        <w:tab/>
      </w:r>
      <w:r>
        <w:rPr>
          <w:color w:val="auto"/>
          <w:highlight w:val="none"/>
        </w:rPr>
        <w:fldChar w:fldCharType="begin"/>
      </w:r>
      <w:r>
        <w:rPr>
          <w:color w:val="auto"/>
          <w:highlight w:val="none"/>
        </w:rPr>
        <w:instrText xml:space="preserve"> PAGEREF _Toc11893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_Toc1770 </w:instrText>
      </w:r>
      <w:r>
        <w:rPr>
          <w:color w:val="auto"/>
          <w:highlight w:val="none"/>
        </w:rPr>
        <w:fldChar w:fldCharType="separate"/>
      </w:r>
      <w:r>
        <w:rPr>
          <w:rFonts w:hint="eastAsia" w:ascii="宋体" w:hAnsi="宋体" w:eastAsia="宋体" w:cs="宋体"/>
          <w:color w:val="auto"/>
          <w:highlight w:val="none"/>
        </w:rPr>
        <w:t xml:space="preserve">(八) </w:t>
      </w:r>
      <w:r>
        <w:rPr>
          <w:rFonts w:hint="eastAsia"/>
          <w:color w:val="auto"/>
          <w:highlight w:val="none"/>
        </w:rPr>
        <w:t>资金支付方式、时间、条件</w:t>
      </w:r>
      <w:r>
        <w:rPr>
          <w:color w:val="auto"/>
          <w:highlight w:val="none"/>
        </w:rPr>
        <w:tab/>
      </w:r>
      <w:r>
        <w:rPr>
          <w:color w:val="auto"/>
          <w:highlight w:val="none"/>
        </w:rPr>
        <w:fldChar w:fldCharType="begin"/>
      </w:r>
      <w:r>
        <w:rPr>
          <w:color w:val="auto"/>
          <w:highlight w:val="none"/>
        </w:rPr>
        <w:instrText xml:space="preserve"> PAGEREF _Toc1770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_Toc5420 </w:instrText>
      </w:r>
      <w:r>
        <w:rPr>
          <w:color w:val="auto"/>
          <w:highlight w:val="none"/>
        </w:rPr>
        <w:fldChar w:fldCharType="separate"/>
      </w:r>
      <w:r>
        <w:rPr>
          <w:rFonts w:hint="eastAsia"/>
          <w:color w:val="auto"/>
          <w:highlight w:val="none"/>
        </w:rPr>
        <w:t>七、 投标纪律要求</w:t>
      </w:r>
      <w:r>
        <w:rPr>
          <w:color w:val="auto"/>
          <w:highlight w:val="none"/>
        </w:rPr>
        <w:tab/>
      </w:r>
      <w:r>
        <w:rPr>
          <w:color w:val="auto"/>
          <w:highlight w:val="none"/>
        </w:rPr>
        <w:fldChar w:fldCharType="begin"/>
      </w:r>
      <w:r>
        <w:rPr>
          <w:color w:val="auto"/>
          <w:highlight w:val="none"/>
        </w:rPr>
        <w:instrText xml:space="preserve"> PAGEREF _Toc5420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_Toc1721 </w:instrText>
      </w:r>
      <w:r>
        <w:rPr>
          <w:color w:val="auto"/>
          <w:highlight w:val="none"/>
        </w:rPr>
        <w:fldChar w:fldCharType="separate"/>
      </w:r>
      <w:r>
        <w:rPr>
          <w:rFonts w:hint="eastAsia"/>
          <w:color w:val="auto"/>
          <w:highlight w:val="none"/>
        </w:rPr>
        <w:t>八、 其他</w:t>
      </w:r>
      <w:r>
        <w:rPr>
          <w:color w:val="auto"/>
          <w:highlight w:val="none"/>
        </w:rPr>
        <w:tab/>
      </w:r>
      <w:r>
        <w:rPr>
          <w:color w:val="auto"/>
          <w:highlight w:val="none"/>
        </w:rPr>
        <w:fldChar w:fldCharType="begin"/>
      </w:r>
      <w:r>
        <w:rPr>
          <w:color w:val="auto"/>
          <w:highlight w:val="none"/>
        </w:rPr>
        <w:instrText xml:space="preserve"> PAGEREF _Toc1721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_Toc29577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询问、质疑和投诉</w:t>
      </w:r>
      <w:r>
        <w:rPr>
          <w:color w:val="auto"/>
          <w:highlight w:val="none"/>
        </w:rPr>
        <w:tab/>
      </w:r>
      <w:r>
        <w:rPr>
          <w:color w:val="auto"/>
          <w:highlight w:val="none"/>
        </w:rPr>
        <w:fldChar w:fldCharType="begin"/>
      </w:r>
      <w:r>
        <w:rPr>
          <w:color w:val="auto"/>
          <w:highlight w:val="none"/>
        </w:rPr>
        <w:instrText xml:space="preserve"> PAGEREF _Toc29577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_Toc25955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关于行贿犯罪档案查询工作的规定</w:t>
      </w:r>
      <w:r>
        <w:rPr>
          <w:color w:val="auto"/>
          <w:highlight w:val="none"/>
        </w:rPr>
        <w:tab/>
      </w:r>
      <w:r>
        <w:rPr>
          <w:color w:val="auto"/>
          <w:highlight w:val="none"/>
        </w:rPr>
        <w:fldChar w:fldCharType="begin"/>
      </w:r>
      <w:r>
        <w:rPr>
          <w:color w:val="auto"/>
          <w:highlight w:val="none"/>
        </w:rPr>
        <w:instrText xml:space="preserve"> PAGEREF _Toc25955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_Toc12518 </w:instrText>
      </w:r>
      <w:r>
        <w:rPr>
          <w:color w:val="auto"/>
          <w:highlight w:val="none"/>
        </w:rPr>
        <w:fldChar w:fldCharType="separate"/>
      </w:r>
      <w:r>
        <w:rPr>
          <w:rFonts w:hint="eastAsia" w:ascii="宋体" w:hAnsi="宋体" w:eastAsia="宋体" w:cs="宋体"/>
          <w:color w:val="auto"/>
          <w:highlight w:val="none"/>
        </w:rPr>
        <w:t xml:space="preserve">(三) </w:t>
      </w:r>
      <w:r>
        <w:rPr>
          <w:rFonts w:hint="eastAsia"/>
          <w:color w:val="auto"/>
          <w:highlight w:val="none"/>
        </w:rPr>
        <w:t>串通投标的情形</w:t>
      </w:r>
      <w:r>
        <w:rPr>
          <w:color w:val="auto"/>
          <w:highlight w:val="none"/>
        </w:rPr>
        <w:tab/>
      </w:r>
      <w:r>
        <w:rPr>
          <w:color w:val="auto"/>
          <w:highlight w:val="none"/>
        </w:rPr>
        <w:fldChar w:fldCharType="begin"/>
      </w:r>
      <w:r>
        <w:rPr>
          <w:color w:val="auto"/>
          <w:highlight w:val="none"/>
        </w:rPr>
        <w:instrText xml:space="preserve"> PAGEREF _Toc12518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_Toc19797 </w:instrText>
      </w:r>
      <w:r>
        <w:rPr>
          <w:color w:val="auto"/>
          <w:highlight w:val="none"/>
        </w:rPr>
        <w:fldChar w:fldCharType="separate"/>
      </w:r>
      <w:r>
        <w:rPr>
          <w:rFonts w:hint="eastAsia" w:ascii="宋体" w:hAnsi="宋体" w:eastAsia="宋体" w:cs="宋体"/>
          <w:color w:val="auto"/>
          <w:highlight w:val="none"/>
        </w:rPr>
        <w:t xml:space="preserve">(四) </w:t>
      </w:r>
      <w:r>
        <w:rPr>
          <w:rFonts w:hint="eastAsia"/>
          <w:color w:val="auto"/>
          <w:highlight w:val="none"/>
        </w:rPr>
        <w:t>投标人信用信息查询</w:t>
      </w:r>
      <w:r>
        <w:rPr>
          <w:color w:val="auto"/>
          <w:highlight w:val="none"/>
        </w:rPr>
        <w:tab/>
      </w:r>
      <w:r>
        <w:rPr>
          <w:color w:val="auto"/>
          <w:highlight w:val="none"/>
        </w:rPr>
        <w:fldChar w:fldCharType="begin"/>
      </w:r>
      <w:r>
        <w:rPr>
          <w:color w:val="auto"/>
          <w:highlight w:val="none"/>
        </w:rPr>
        <w:instrText xml:space="preserve"> PAGEREF _Toc19797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_Toc5265 </w:instrText>
      </w:r>
      <w:r>
        <w:rPr>
          <w:color w:val="auto"/>
          <w:highlight w:val="none"/>
        </w:rPr>
        <w:fldChar w:fldCharType="separate"/>
      </w:r>
      <w:r>
        <w:rPr>
          <w:rFonts w:hint="eastAsia" w:ascii="宋体" w:hAnsi="宋体" w:eastAsia="宋体" w:cs="宋体"/>
          <w:color w:val="auto"/>
          <w:highlight w:val="none"/>
        </w:rPr>
        <w:t xml:space="preserve">(五) </w:t>
      </w:r>
      <w:r>
        <w:rPr>
          <w:rFonts w:hint="eastAsia"/>
          <w:color w:val="auto"/>
          <w:highlight w:val="none"/>
        </w:rPr>
        <w:t>保密</w:t>
      </w:r>
      <w:r>
        <w:rPr>
          <w:color w:val="auto"/>
          <w:highlight w:val="none"/>
        </w:rPr>
        <w:tab/>
      </w:r>
      <w:r>
        <w:rPr>
          <w:color w:val="auto"/>
          <w:highlight w:val="none"/>
        </w:rPr>
        <w:fldChar w:fldCharType="begin"/>
      </w:r>
      <w:r>
        <w:rPr>
          <w:color w:val="auto"/>
          <w:highlight w:val="none"/>
        </w:rPr>
        <w:instrText xml:space="preserve"> PAGEREF _Toc5265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_Toc3709 </w:instrText>
      </w:r>
      <w:r>
        <w:rPr>
          <w:color w:val="auto"/>
          <w:highlight w:val="none"/>
        </w:rPr>
        <w:fldChar w:fldCharType="separate"/>
      </w:r>
      <w:r>
        <w:rPr>
          <w:rFonts w:hint="eastAsia" w:ascii="宋体" w:hAnsi="宋体" w:eastAsia="宋体" w:cs="宋体"/>
          <w:color w:val="auto"/>
          <w:highlight w:val="none"/>
        </w:rPr>
        <w:t xml:space="preserve">(六) </w:t>
      </w:r>
      <w:r>
        <w:rPr>
          <w:rFonts w:hint="eastAsia"/>
          <w:color w:val="auto"/>
          <w:highlight w:val="none"/>
        </w:rPr>
        <w:t>回避</w:t>
      </w:r>
      <w:r>
        <w:rPr>
          <w:color w:val="auto"/>
          <w:highlight w:val="none"/>
        </w:rPr>
        <w:tab/>
      </w:r>
      <w:r>
        <w:rPr>
          <w:color w:val="auto"/>
          <w:highlight w:val="none"/>
        </w:rPr>
        <w:fldChar w:fldCharType="begin"/>
      </w:r>
      <w:r>
        <w:rPr>
          <w:color w:val="auto"/>
          <w:highlight w:val="none"/>
        </w:rPr>
        <w:instrText xml:space="preserve"> PAGEREF _Toc3709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_Toc27385 </w:instrText>
      </w:r>
      <w:r>
        <w:rPr>
          <w:color w:val="auto"/>
          <w:highlight w:val="none"/>
        </w:rPr>
        <w:fldChar w:fldCharType="separate"/>
      </w:r>
      <w:r>
        <w:rPr>
          <w:rFonts w:hint="eastAsia" w:ascii="宋体" w:hAnsi="宋体" w:eastAsia="宋体" w:cs="宋体"/>
          <w:color w:val="auto"/>
          <w:highlight w:val="none"/>
        </w:rPr>
        <w:t xml:space="preserve">(七) </w:t>
      </w:r>
      <w:r>
        <w:rPr>
          <w:rFonts w:hint="eastAsia"/>
          <w:color w:val="auto"/>
          <w:highlight w:val="none"/>
        </w:rPr>
        <w:t>解释说明</w:t>
      </w:r>
      <w:r>
        <w:rPr>
          <w:color w:val="auto"/>
          <w:highlight w:val="none"/>
        </w:rPr>
        <w:tab/>
      </w:r>
      <w:r>
        <w:rPr>
          <w:color w:val="auto"/>
          <w:highlight w:val="none"/>
        </w:rPr>
        <w:fldChar w:fldCharType="begin"/>
      </w:r>
      <w:r>
        <w:rPr>
          <w:color w:val="auto"/>
          <w:highlight w:val="none"/>
        </w:rPr>
        <w:instrText xml:space="preserve"> PAGEREF _Toc27385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18"/>
        <w:tabs>
          <w:tab w:val="clear" w:pos="0"/>
        </w:tabs>
        <w:rPr>
          <w:color w:val="auto"/>
          <w:highlight w:val="none"/>
        </w:rPr>
      </w:pPr>
      <w:r>
        <w:rPr>
          <w:color w:val="auto"/>
          <w:highlight w:val="none"/>
        </w:rPr>
        <w:fldChar w:fldCharType="begin"/>
      </w:r>
      <w:r>
        <w:rPr>
          <w:color w:val="auto"/>
          <w:highlight w:val="none"/>
        </w:rPr>
        <w:instrText xml:space="preserve"> HYPERLINK \l _Toc3755 </w:instrText>
      </w:r>
      <w:r>
        <w:rPr>
          <w:color w:val="auto"/>
          <w:highlight w:val="none"/>
        </w:rPr>
        <w:fldChar w:fldCharType="separate"/>
      </w:r>
      <w:r>
        <w:rPr>
          <w:rFonts w:hint="eastAsia" w:ascii="宋体" w:hAnsi="宋体" w:eastAsia="宋体" w:cs="宋体"/>
          <w:color w:val="auto"/>
          <w:highlight w:val="none"/>
        </w:rPr>
        <w:t xml:space="preserve">第三章 </w:t>
      </w:r>
      <w:r>
        <w:rPr>
          <w:rFonts w:hint="eastAsia"/>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_Toc3755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_Toc4817 </w:instrText>
      </w:r>
      <w:r>
        <w:rPr>
          <w:color w:val="auto"/>
          <w:highlight w:val="none"/>
        </w:rPr>
        <w:fldChar w:fldCharType="separate"/>
      </w:r>
      <w:r>
        <w:rPr>
          <w:rFonts w:hint="eastAsia"/>
          <w:color w:val="auto"/>
          <w:szCs w:val="32"/>
          <w:highlight w:val="none"/>
        </w:rPr>
        <w:t>第一部分 资格、资质性及其他类似效力投标文件(格式)</w:t>
      </w:r>
      <w:r>
        <w:rPr>
          <w:color w:val="auto"/>
          <w:highlight w:val="none"/>
        </w:rPr>
        <w:tab/>
      </w:r>
      <w:r>
        <w:rPr>
          <w:color w:val="auto"/>
          <w:highlight w:val="none"/>
        </w:rPr>
        <w:fldChar w:fldCharType="begin"/>
      </w:r>
      <w:r>
        <w:rPr>
          <w:color w:val="auto"/>
          <w:highlight w:val="none"/>
        </w:rPr>
        <w:instrText xml:space="preserve"> PAGEREF _Toc4817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_Toc10397 </w:instrText>
      </w:r>
      <w:r>
        <w:rPr>
          <w:color w:val="auto"/>
          <w:highlight w:val="none"/>
        </w:rPr>
        <w:fldChar w:fldCharType="separate"/>
      </w:r>
      <w:r>
        <w:rPr>
          <w:rFonts w:hint="eastAsia"/>
          <w:color w:val="auto"/>
          <w:highlight w:val="none"/>
        </w:rPr>
        <w:t>一、 法定代表人/单位负责人授权书</w:t>
      </w:r>
      <w:r>
        <w:rPr>
          <w:color w:val="auto"/>
          <w:highlight w:val="none"/>
        </w:rPr>
        <w:tab/>
      </w:r>
      <w:r>
        <w:rPr>
          <w:color w:val="auto"/>
          <w:highlight w:val="none"/>
        </w:rPr>
        <w:fldChar w:fldCharType="begin"/>
      </w:r>
      <w:r>
        <w:rPr>
          <w:color w:val="auto"/>
          <w:highlight w:val="none"/>
        </w:rPr>
        <w:instrText xml:space="preserve"> PAGEREF _Toc10397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_Toc28846 </w:instrText>
      </w:r>
      <w:r>
        <w:rPr>
          <w:color w:val="auto"/>
          <w:highlight w:val="none"/>
        </w:rPr>
        <w:fldChar w:fldCharType="separate"/>
      </w:r>
      <w:r>
        <w:rPr>
          <w:rFonts w:hint="eastAsia"/>
          <w:color w:val="auto"/>
          <w:highlight w:val="none"/>
        </w:rPr>
        <w:t>一、 法定代表人/单位负责人证明书</w:t>
      </w:r>
      <w:r>
        <w:rPr>
          <w:color w:val="auto"/>
          <w:highlight w:val="none"/>
        </w:rPr>
        <w:tab/>
      </w:r>
      <w:r>
        <w:rPr>
          <w:color w:val="auto"/>
          <w:highlight w:val="none"/>
        </w:rPr>
        <w:fldChar w:fldCharType="begin"/>
      </w:r>
      <w:r>
        <w:rPr>
          <w:color w:val="auto"/>
          <w:highlight w:val="none"/>
        </w:rPr>
        <w:instrText xml:space="preserve"> PAGEREF _Toc28846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_Toc27533 </w:instrText>
      </w:r>
      <w:r>
        <w:rPr>
          <w:color w:val="auto"/>
          <w:highlight w:val="none"/>
        </w:rPr>
        <w:fldChar w:fldCharType="separate"/>
      </w:r>
      <w:r>
        <w:rPr>
          <w:rFonts w:hint="eastAsia"/>
          <w:color w:val="auto"/>
          <w:highlight w:val="none"/>
        </w:rPr>
        <w:t>二、 具有独立承担民事责任的能力的证明材料</w:t>
      </w:r>
      <w:r>
        <w:rPr>
          <w:color w:val="auto"/>
          <w:highlight w:val="none"/>
        </w:rPr>
        <w:tab/>
      </w:r>
      <w:r>
        <w:rPr>
          <w:color w:val="auto"/>
          <w:highlight w:val="none"/>
        </w:rPr>
        <w:fldChar w:fldCharType="begin"/>
      </w:r>
      <w:r>
        <w:rPr>
          <w:color w:val="auto"/>
          <w:highlight w:val="none"/>
        </w:rPr>
        <w:instrText xml:space="preserve"> PAGEREF _Toc27533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_Toc29548 </w:instrText>
      </w:r>
      <w:r>
        <w:rPr>
          <w:color w:val="auto"/>
          <w:highlight w:val="none"/>
        </w:rPr>
        <w:fldChar w:fldCharType="separate"/>
      </w:r>
      <w:r>
        <w:rPr>
          <w:rFonts w:hint="eastAsia" w:ascii="宋体" w:hAnsi="宋体" w:eastAsia="宋体"/>
          <w:color w:val="auto"/>
          <w:highlight w:val="none"/>
        </w:rPr>
        <w:t>三、 投标人具有良好的商业信誉和健全的财务会计制度的证明材料</w:t>
      </w:r>
      <w:r>
        <w:rPr>
          <w:color w:val="auto"/>
          <w:highlight w:val="none"/>
        </w:rPr>
        <w:tab/>
      </w:r>
      <w:r>
        <w:rPr>
          <w:color w:val="auto"/>
          <w:highlight w:val="none"/>
        </w:rPr>
        <w:fldChar w:fldCharType="begin"/>
      </w:r>
      <w:r>
        <w:rPr>
          <w:color w:val="auto"/>
          <w:highlight w:val="none"/>
        </w:rPr>
        <w:instrText xml:space="preserve"> PAGEREF _Toc29548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_Toc23878 </w:instrText>
      </w:r>
      <w:r>
        <w:rPr>
          <w:color w:val="auto"/>
          <w:highlight w:val="none"/>
        </w:rPr>
        <w:fldChar w:fldCharType="separate"/>
      </w:r>
      <w:r>
        <w:rPr>
          <w:rFonts w:hint="eastAsia" w:ascii="宋体" w:hAnsi="宋体" w:eastAsia="宋体"/>
          <w:color w:val="auto"/>
          <w:highlight w:val="none"/>
        </w:rPr>
        <w:t>四、 投标人有依法缴纳税收和社会保障资金的良好记录的证明材料</w:t>
      </w:r>
      <w:r>
        <w:rPr>
          <w:color w:val="auto"/>
          <w:highlight w:val="none"/>
        </w:rPr>
        <w:tab/>
      </w:r>
      <w:r>
        <w:rPr>
          <w:color w:val="auto"/>
          <w:highlight w:val="none"/>
        </w:rPr>
        <w:fldChar w:fldCharType="begin"/>
      </w:r>
      <w:r>
        <w:rPr>
          <w:color w:val="auto"/>
          <w:highlight w:val="none"/>
        </w:rPr>
        <w:instrText xml:space="preserve"> PAGEREF _Toc23878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_Toc6792 </w:instrText>
      </w:r>
      <w:r>
        <w:rPr>
          <w:color w:val="auto"/>
          <w:highlight w:val="none"/>
        </w:rPr>
        <w:fldChar w:fldCharType="separate"/>
      </w:r>
      <w:r>
        <w:rPr>
          <w:rFonts w:hint="eastAsia" w:ascii="宋体" w:hAnsi="宋体" w:eastAsia="宋体"/>
          <w:color w:val="auto"/>
          <w:highlight w:val="none"/>
        </w:rPr>
        <w:t>五、 投标人具有履行合同所必需的设备和专业技术能力证明材料</w:t>
      </w:r>
      <w:r>
        <w:rPr>
          <w:color w:val="auto"/>
          <w:highlight w:val="none"/>
        </w:rPr>
        <w:tab/>
      </w:r>
      <w:r>
        <w:rPr>
          <w:color w:val="auto"/>
          <w:highlight w:val="none"/>
        </w:rPr>
        <w:fldChar w:fldCharType="begin"/>
      </w:r>
      <w:r>
        <w:rPr>
          <w:color w:val="auto"/>
          <w:highlight w:val="none"/>
        </w:rPr>
        <w:instrText xml:space="preserve"> PAGEREF _Toc6792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_Toc13512 </w:instrText>
      </w:r>
      <w:r>
        <w:rPr>
          <w:color w:val="auto"/>
          <w:highlight w:val="none"/>
        </w:rPr>
        <w:fldChar w:fldCharType="separate"/>
      </w:r>
      <w:r>
        <w:rPr>
          <w:rFonts w:hint="eastAsia" w:ascii="宋体" w:hAnsi="宋体" w:eastAsia="宋体"/>
          <w:color w:val="auto"/>
          <w:highlight w:val="none"/>
        </w:rPr>
        <w:t>六、 投标人参加采购活动前三年内，在经营活动中没有重大违法记录的证明材料</w:t>
      </w:r>
      <w:r>
        <w:rPr>
          <w:color w:val="auto"/>
          <w:highlight w:val="none"/>
        </w:rPr>
        <w:tab/>
      </w:r>
      <w:r>
        <w:rPr>
          <w:color w:val="auto"/>
          <w:highlight w:val="none"/>
        </w:rPr>
        <w:fldChar w:fldCharType="begin"/>
      </w:r>
      <w:r>
        <w:rPr>
          <w:color w:val="auto"/>
          <w:highlight w:val="none"/>
        </w:rPr>
        <w:instrText xml:space="preserve"> PAGEREF _Toc13512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_Toc26788 </w:instrText>
      </w:r>
      <w:r>
        <w:rPr>
          <w:color w:val="auto"/>
          <w:highlight w:val="none"/>
        </w:rPr>
        <w:fldChar w:fldCharType="separate"/>
      </w:r>
      <w:r>
        <w:rPr>
          <w:rFonts w:hint="eastAsia" w:ascii="宋体" w:hAnsi="宋体" w:eastAsia="宋体"/>
          <w:color w:val="auto"/>
          <w:highlight w:val="none"/>
          <w:lang w:val="zh-CN"/>
        </w:rPr>
        <w:t xml:space="preserve">七、 </w:t>
      </w:r>
      <w:r>
        <w:rPr>
          <w:rFonts w:hint="eastAsia" w:ascii="宋体" w:hAnsi="宋体" w:eastAsia="宋体"/>
          <w:color w:val="auto"/>
          <w:highlight w:val="none"/>
        </w:rPr>
        <w:t>投标人</w:t>
      </w:r>
      <w:r>
        <w:rPr>
          <w:rFonts w:hint="eastAsia" w:ascii="宋体" w:hAnsi="宋体" w:eastAsia="宋体"/>
          <w:color w:val="auto"/>
          <w:highlight w:val="none"/>
          <w:lang w:val="zh-CN"/>
        </w:rPr>
        <w:t>及其现任法定代表人、主要负责人不得具有行贿犯罪记录</w:t>
      </w:r>
      <w:r>
        <w:rPr>
          <w:rFonts w:hint="eastAsia" w:ascii="宋体" w:hAnsi="宋体" w:eastAsia="宋体"/>
          <w:color w:val="auto"/>
          <w:highlight w:val="none"/>
        </w:rPr>
        <w:t>的承诺函</w:t>
      </w:r>
      <w:r>
        <w:rPr>
          <w:color w:val="auto"/>
          <w:highlight w:val="none"/>
        </w:rPr>
        <w:tab/>
      </w:r>
      <w:r>
        <w:rPr>
          <w:color w:val="auto"/>
          <w:highlight w:val="none"/>
        </w:rPr>
        <w:fldChar w:fldCharType="begin"/>
      </w:r>
      <w:r>
        <w:rPr>
          <w:color w:val="auto"/>
          <w:highlight w:val="none"/>
        </w:rPr>
        <w:instrText xml:space="preserve"> PAGEREF _Toc26788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_Toc6953 </w:instrText>
      </w:r>
      <w:r>
        <w:rPr>
          <w:color w:val="auto"/>
          <w:highlight w:val="none"/>
        </w:rPr>
        <w:fldChar w:fldCharType="separate"/>
      </w:r>
      <w:r>
        <w:rPr>
          <w:rFonts w:hint="eastAsia" w:ascii="宋体" w:hAnsi="宋体" w:eastAsia="宋体"/>
          <w:color w:val="auto"/>
          <w:highlight w:val="none"/>
        </w:rPr>
        <w:t>八、 根据采购项目的特殊要求，供应商提供具有特定条件的证明材料</w:t>
      </w:r>
      <w:r>
        <w:rPr>
          <w:color w:val="auto"/>
          <w:highlight w:val="none"/>
        </w:rPr>
        <w:tab/>
      </w:r>
      <w:r>
        <w:rPr>
          <w:color w:val="auto"/>
          <w:highlight w:val="none"/>
        </w:rPr>
        <w:fldChar w:fldCharType="begin"/>
      </w:r>
      <w:r>
        <w:rPr>
          <w:color w:val="auto"/>
          <w:highlight w:val="none"/>
        </w:rPr>
        <w:instrText xml:space="preserve"> PAGEREF _Toc6953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_Toc11338 </w:instrText>
      </w:r>
      <w:r>
        <w:rPr>
          <w:color w:val="auto"/>
          <w:highlight w:val="none"/>
        </w:rPr>
        <w:fldChar w:fldCharType="separate"/>
      </w:r>
      <w:r>
        <w:rPr>
          <w:rFonts w:hint="eastAsia" w:ascii="宋体" w:hAnsi="宋体" w:eastAsia="宋体"/>
          <w:color w:val="auto"/>
          <w:highlight w:val="none"/>
        </w:rPr>
        <w:t>九、 提供有效的投标保证金提交凭证</w:t>
      </w:r>
      <w:r>
        <w:rPr>
          <w:color w:val="auto"/>
          <w:highlight w:val="none"/>
        </w:rPr>
        <w:tab/>
      </w:r>
      <w:r>
        <w:rPr>
          <w:color w:val="auto"/>
          <w:highlight w:val="none"/>
        </w:rPr>
        <w:fldChar w:fldCharType="begin"/>
      </w:r>
      <w:r>
        <w:rPr>
          <w:color w:val="auto"/>
          <w:highlight w:val="none"/>
        </w:rPr>
        <w:instrText xml:space="preserve"> PAGEREF _Toc11338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_Toc32341 </w:instrText>
      </w:r>
      <w:r>
        <w:rPr>
          <w:color w:val="auto"/>
          <w:highlight w:val="none"/>
        </w:rPr>
        <w:fldChar w:fldCharType="separate"/>
      </w:r>
      <w:r>
        <w:rPr>
          <w:rFonts w:hint="eastAsia" w:ascii="宋体" w:hAnsi="宋体" w:eastAsia="宋体"/>
          <w:color w:val="auto"/>
          <w:highlight w:val="none"/>
        </w:rPr>
        <w:t>十、 承诺及声明函</w:t>
      </w:r>
      <w:r>
        <w:rPr>
          <w:color w:val="auto"/>
          <w:highlight w:val="none"/>
        </w:rPr>
        <w:tab/>
      </w:r>
      <w:r>
        <w:rPr>
          <w:color w:val="auto"/>
          <w:highlight w:val="none"/>
        </w:rPr>
        <w:fldChar w:fldCharType="begin"/>
      </w:r>
      <w:r>
        <w:rPr>
          <w:color w:val="auto"/>
          <w:highlight w:val="none"/>
        </w:rPr>
        <w:instrText xml:space="preserve"> PAGEREF _Toc32341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_Toc886 </w:instrText>
      </w:r>
      <w:r>
        <w:rPr>
          <w:color w:val="auto"/>
          <w:highlight w:val="none"/>
        </w:rPr>
        <w:fldChar w:fldCharType="separate"/>
      </w:r>
      <w:r>
        <w:rPr>
          <w:rFonts w:hint="eastAsia"/>
          <w:color w:val="auto"/>
          <w:szCs w:val="32"/>
          <w:highlight w:val="none"/>
        </w:rPr>
        <w:t>第二部分 其他投标文件(格式)</w:t>
      </w:r>
      <w:r>
        <w:rPr>
          <w:color w:val="auto"/>
          <w:highlight w:val="none"/>
        </w:rPr>
        <w:tab/>
      </w:r>
      <w:r>
        <w:rPr>
          <w:color w:val="auto"/>
          <w:highlight w:val="none"/>
        </w:rPr>
        <w:fldChar w:fldCharType="begin"/>
      </w:r>
      <w:r>
        <w:rPr>
          <w:color w:val="auto"/>
          <w:highlight w:val="none"/>
        </w:rPr>
        <w:instrText xml:space="preserve"> PAGEREF _Toc886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_Toc28199 </w:instrText>
      </w:r>
      <w:r>
        <w:rPr>
          <w:color w:val="auto"/>
          <w:highlight w:val="none"/>
        </w:rPr>
        <w:fldChar w:fldCharType="separate"/>
      </w:r>
      <w:r>
        <w:rPr>
          <w:rFonts w:hint="eastAsia"/>
          <w:color w:val="auto"/>
          <w:highlight w:val="none"/>
        </w:rPr>
        <w:t>一、 投标函</w:t>
      </w:r>
      <w:r>
        <w:rPr>
          <w:color w:val="auto"/>
          <w:highlight w:val="none"/>
        </w:rPr>
        <w:tab/>
      </w:r>
      <w:r>
        <w:rPr>
          <w:color w:val="auto"/>
          <w:highlight w:val="none"/>
        </w:rPr>
        <w:fldChar w:fldCharType="begin"/>
      </w:r>
      <w:r>
        <w:rPr>
          <w:color w:val="auto"/>
          <w:highlight w:val="none"/>
        </w:rPr>
        <w:instrText xml:space="preserve"> PAGEREF _Toc28199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_Toc22148 </w:instrText>
      </w:r>
      <w:r>
        <w:rPr>
          <w:color w:val="auto"/>
          <w:highlight w:val="none"/>
        </w:rPr>
        <w:fldChar w:fldCharType="separate"/>
      </w:r>
      <w:r>
        <w:rPr>
          <w:rFonts w:hint="eastAsia"/>
          <w:color w:val="auto"/>
          <w:highlight w:val="none"/>
        </w:rPr>
        <w:t>二、 实质性要求承诺</w:t>
      </w:r>
      <w:r>
        <w:rPr>
          <w:color w:val="auto"/>
          <w:highlight w:val="none"/>
        </w:rPr>
        <w:tab/>
      </w:r>
      <w:r>
        <w:rPr>
          <w:color w:val="auto"/>
          <w:highlight w:val="none"/>
        </w:rPr>
        <w:fldChar w:fldCharType="begin"/>
      </w:r>
      <w:r>
        <w:rPr>
          <w:color w:val="auto"/>
          <w:highlight w:val="none"/>
        </w:rPr>
        <w:instrText xml:space="preserve"> PAGEREF _Toc22148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_Toc1959 </w:instrText>
      </w:r>
      <w:r>
        <w:rPr>
          <w:color w:val="auto"/>
          <w:highlight w:val="none"/>
        </w:rPr>
        <w:fldChar w:fldCharType="separate"/>
      </w:r>
      <w:r>
        <w:rPr>
          <w:rFonts w:hint="eastAsia"/>
          <w:color w:val="auto"/>
          <w:highlight w:val="none"/>
          <w:lang w:val="en-US" w:eastAsia="zh-CN"/>
        </w:rPr>
        <w:t xml:space="preserve">三、 </w:t>
      </w:r>
      <w:r>
        <w:rPr>
          <w:rFonts w:hint="eastAsia"/>
          <w:bCs/>
          <w:color w:val="auto"/>
          <w:highlight w:val="none"/>
        </w:rPr>
        <w:t>廉洁诚信承诺书</w:t>
      </w:r>
      <w:r>
        <w:rPr>
          <w:color w:val="auto"/>
          <w:highlight w:val="none"/>
        </w:rPr>
        <w:tab/>
      </w:r>
      <w:r>
        <w:rPr>
          <w:color w:val="auto"/>
          <w:highlight w:val="none"/>
        </w:rPr>
        <w:fldChar w:fldCharType="begin"/>
      </w:r>
      <w:r>
        <w:rPr>
          <w:color w:val="auto"/>
          <w:highlight w:val="none"/>
        </w:rPr>
        <w:instrText xml:space="preserve"> PAGEREF _Toc1959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_Toc24473 </w:instrText>
      </w:r>
      <w:r>
        <w:rPr>
          <w:color w:val="auto"/>
          <w:highlight w:val="none"/>
        </w:rPr>
        <w:fldChar w:fldCharType="separate"/>
      </w:r>
      <w:r>
        <w:rPr>
          <w:rFonts w:hint="eastAsia"/>
          <w:color w:val="auto"/>
          <w:highlight w:val="none"/>
        </w:rPr>
        <w:t>四、 投标人基本情况表</w:t>
      </w:r>
      <w:r>
        <w:rPr>
          <w:color w:val="auto"/>
          <w:highlight w:val="none"/>
        </w:rPr>
        <w:tab/>
      </w:r>
      <w:r>
        <w:rPr>
          <w:color w:val="auto"/>
          <w:highlight w:val="none"/>
        </w:rPr>
        <w:fldChar w:fldCharType="begin"/>
      </w:r>
      <w:r>
        <w:rPr>
          <w:color w:val="auto"/>
          <w:highlight w:val="none"/>
        </w:rPr>
        <w:instrText xml:space="preserve"> PAGEREF _Toc24473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_Toc22885 </w:instrText>
      </w:r>
      <w:r>
        <w:rPr>
          <w:color w:val="auto"/>
          <w:highlight w:val="none"/>
        </w:rPr>
        <w:fldChar w:fldCharType="separate"/>
      </w:r>
      <w:r>
        <w:rPr>
          <w:rFonts w:hint="eastAsia"/>
          <w:color w:val="auto"/>
          <w:highlight w:val="none"/>
        </w:rPr>
        <w:t>五、 开标一览表</w:t>
      </w:r>
      <w:r>
        <w:rPr>
          <w:color w:val="auto"/>
          <w:highlight w:val="none"/>
        </w:rPr>
        <w:tab/>
      </w:r>
      <w:r>
        <w:rPr>
          <w:color w:val="auto"/>
          <w:highlight w:val="none"/>
        </w:rPr>
        <w:fldChar w:fldCharType="begin"/>
      </w:r>
      <w:r>
        <w:rPr>
          <w:color w:val="auto"/>
          <w:highlight w:val="none"/>
        </w:rPr>
        <w:instrText xml:space="preserve"> PAGEREF _Toc22885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_Toc7693 </w:instrText>
      </w:r>
      <w:r>
        <w:rPr>
          <w:color w:val="auto"/>
          <w:highlight w:val="none"/>
        </w:rPr>
        <w:fldChar w:fldCharType="separate"/>
      </w:r>
      <w:r>
        <w:rPr>
          <w:rFonts w:hint="eastAsia"/>
          <w:color w:val="auto"/>
          <w:highlight w:val="none"/>
        </w:rPr>
        <w:t>六、 商务应答表</w:t>
      </w:r>
      <w:r>
        <w:rPr>
          <w:color w:val="auto"/>
          <w:highlight w:val="none"/>
        </w:rPr>
        <w:tab/>
      </w:r>
      <w:r>
        <w:rPr>
          <w:color w:val="auto"/>
          <w:highlight w:val="none"/>
        </w:rPr>
        <w:fldChar w:fldCharType="begin"/>
      </w:r>
      <w:r>
        <w:rPr>
          <w:color w:val="auto"/>
          <w:highlight w:val="none"/>
        </w:rPr>
        <w:instrText xml:space="preserve"> PAGEREF _Toc7693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_Toc21788 </w:instrText>
      </w:r>
      <w:r>
        <w:rPr>
          <w:color w:val="auto"/>
          <w:highlight w:val="none"/>
        </w:rPr>
        <w:fldChar w:fldCharType="separate"/>
      </w:r>
      <w:r>
        <w:rPr>
          <w:rFonts w:hint="eastAsia"/>
          <w:color w:val="auto"/>
          <w:highlight w:val="none"/>
        </w:rPr>
        <w:t>七、 投标产品技术参数表</w:t>
      </w:r>
      <w:r>
        <w:rPr>
          <w:color w:val="auto"/>
          <w:highlight w:val="none"/>
        </w:rPr>
        <w:tab/>
      </w:r>
      <w:r>
        <w:rPr>
          <w:color w:val="auto"/>
          <w:highlight w:val="none"/>
        </w:rPr>
        <w:fldChar w:fldCharType="begin"/>
      </w:r>
      <w:r>
        <w:rPr>
          <w:color w:val="auto"/>
          <w:highlight w:val="none"/>
        </w:rPr>
        <w:instrText xml:space="preserve"> PAGEREF _Toc21788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_Toc3909 </w:instrText>
      </w:r>
      <w:r>
        <w:rPr>
          <w:color w:val="auto"/>
          <w:highlight w:val="none"/>
        </w:rPr>
        <w:fldChar w:fldCharType="separate"/>
      </w:r>
      <w:r>
        <w:rPr>
          <w:rFonts w:hint="eastAsia"/>
          <w:color w:val="auto"/>
          <w:highlight w:val="none"/>
        </w:rPr>
        <w:t>八、 履约能力及相关证明</w:t>
      </w:r>
      <w:r>
        <w:rPr>
          <w:color w:val="auto"/>
          <w:highlight w:val="none"/>
        </w:rPr>
        <w:tab/>
      </w:r>
      <w:r>
        <w:rPr>
          <w:color w:val="auto"/>
          <w:highlight w:val="none"/>
        </w:rPr>
        <w:fldChar w:fldCharType="begin"/>
      </w:r>
      <w:r>
        <w:rPr>
          <w:color w:val="auto"/>
          <w:highlight w:val="none"/>
        </w:rPr>
        <w:instrText xml:space="preserve"> PAGEREF _Toc3909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_Toc14204 </w:instrText>
      </w:r>
      <w:r>
        <w:rPr>
          <w:color w:val="auto"/>
          <w:highlight w:val="none"/>
        </w:rPr>
        <w:fldChar w:fldCharType="separate"/>
      </w:r>
      <w:r>
        <w:rPr>
          <w:rFonts w:hint="eastAsia"/>
          <w:color w:val="auto"/>
          <w:highlight w:val="none"/>
        </w:rPr>
        <w:t>九、 投标人针对本项目人员配置情况表</w:t>
      </w:r>
      <w:r>
        <w:rPr>
          <w:color w:val="auto"/>
          <w:highlight w:val="none"/>
        </w:rPr>
        <w:tab/>
      </w:r>
      <w:r>
        <w:rPr>
          <w:color w:val="auto"/>
          <w:highlight w:val="none"/>
        </w:rPr>
        <w:fldChar w:fldCharType="begin"/>
      </w:r>
      <w:r>
        <w:rPr>
          <w:color w:val="auto"/>
          <w:highlight w:val="none"/>
        </w:rPr>
        <w:instrText xml:space="preserve"> PAGEREF _Toc14204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_Toc7350 </w:instrText>
      </w:r>
      <w:r>
        <w:rPr>
          <w:color w:val="auto"/>
          <w:highlight w:val="none"/>
        </w:rPr>
        <w:fldChar w:fldCharType="separate"/>
      </w:r>
      <w:r>
        <w:rPr>
          <w:rFonts w:hint="eastAsia"/>
          <w:color w:val="auto"/>
          <w:highlight w:val="none"/>
        </w:rPr>
        <w:t>十、 小微企业、监狱企业、残疾人福利性单位价格扣除</w:t>
      </w:r>
      <w:r>
        <w:rPr>
          <w:color w:val="auto"/>
          <w:highlight w:val="none"/>
        </w:rPr>
        <w:tab/>
      </w:r>
      <w:r>
        <w:rPr>
          <w:color w:val="auto"/>
          <w:highlight w:val="none"/>
        </w:rPr>
        <w:fldChar w:fldCharType="begin"/>
      </w:r>
      <w:r>
        <w:rPr>
          <w:color w:val="auto"/>
          <w:highlight w:val="none"/>
        </w:rPr>
        <w:instrText xml:space="preserve"> PAGEREF _Toc7350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_Toc28053 </w:instrText>
      </w:r>
      <w:r>
        <w:rPr>
          <w:color w:val="auto"/>
          <w:highlight w:val="none"/>
        </w:rPr>
        <w:fldChar w:fldCharType="separate"/>
      </w:r>
      <w:r>
        <w:rPr>
          <w:rFonts w:hint="eastAsia"/>
          <w:color w:val="auto"/>
          <w:highlight w:val="none"/>
        </w:rPr>
        <w:t>(一)中小企业声明函(货物)</w:t>
      </w:r>
      <w:r>
        <w:rPr>
          <w:color w:val="auto"/>
          <w:highlight w:val="none"/>
        </w:rPr>
        <w:tab/>
      </w:r>
      <w:r>
        <w:rPr>
          <w:color w:val="auto"/>
          <w:highlight w:val="none"/>
        </w:rPr>
        <w:fldChar w:fldCharType="begin"/>
      </w:r>
      <w:r>
        <w:rPr>
          <w:color w:val="auto"/>
          <w:highlight w:val="none"/>
        </w:rPr>
        <w:instrText xml:space="preserve"> PAGEREF _Toc28053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_Toc27327 </w:instrText>
      </w:r>
      <w:r>
        <w:rPr>
          <w:color w:val="auto"/>
          <w:highlight w:val="none"/>
        </w:rPr>
        <w:fldChar w:fldCharType="separate"/>
      </w:r>
      <w:r>
        <w:rPr>
          <w:rFonts w:hint="eastAsia"/>
          <w:color w:val="auto"/>
          <w:highlight w:val="none"/>
        </w:rPr>
        <w:t>(二)监狱企业相关证明材料(如涉及)</w:t>
      </w:r>
      <w:r>
        <w:rPr>
          <w:color w:val="auto"/>
          <w:highlight w:val="none"/>
        </w:rPr>
        <w:tab/>
      </w:r>
      <w:r>
        <w:rPr>
          <w:color w:val="auto"/>
          <w:highlight w:val="none"/>
        </w:rPr>
        <w:fldChar w:fldCharType="begin"/>
      </w:r>
      <w:r>
        <w:rPr>
          <w:color w:val="auto"/>
          <w:highlight w:val="none"/>
        </w:rPr>
        <w:instrText xml:space="preserve"> PAGEREF _Toc27327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_Toc3996 </w:instrText>
      </w:r>
      <w:r>
        <w:rPr>
          <w:color w:val="auto"/>
          <w:highlight w:val="none"/>
        </w:rPr>
        <w:fldChar w:fldCharType="separate"/>
      </w:r>
      <w:r>
        <w:rPr>
          <w:rFonts w:hint="eastAsia"/>
          <w:color w:val="auto"/>
          <w:highlight w:val="none"/>
        </w:rPr>
        <w:t>(三)残疾人福利性单位声明函(如涉及)</w:t>
      </w:r>
      <w:r>
        <w:rPr>
          <w:color w:val="auto"/>
          <w:highlight w:val="none"/>
        </w:rPr>
        <w:tab/>
      </w:r>
      <w:r>
        <w:rPr>
          <w:color w:val="auto"/>
          <w:highlight w:val="none"/>
        </w:rPr>
        <w:fldChar w:fldCharType="begin"/>
      </w:r>
      <w:r>
        <w:rPr>
          <w:color w:val="auto"/>
          <w:highlight w:val="none"/>
        </w:rPr>
        <w:instrText xml:space="preserve"> PAGEREF _Toc3996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_Toc18663 </w:instrText>
      </w:r>
      <w:r>
        <w:rPr>
          <w:color w:val="auto"/>
          <w:highlight w:val="none"/>
        </w:rPr>
        <w:fldChar w:fldCharType="separate"/>
      </w:r>
      <w:r>
        <w:rPr>
          <w:rFonts w:hint="eastAsia"/>
          <w:color w:val="auto"/>
          <w:highlight w:val="none"/>
        </w:rPr>
        <w:t xml:space="preserve">十一、 </w:t>
      </w:r>
      <w:r>
        <w:rPr>
          <w:rFonts w:hint="eastAsia"/>
          <w:color w:val="auto"/>
          <w:highlight w:val="none"/>
          <w:lang w:val="en-US" w:eastAsia="zh-CN"/>
        </w:rPr>
        <w:t>项目实施</w:t>
      </w:r>
      <w:r>
        <w:rPr>
          <w:rFonts w:hint="eastAsia"/>
          <w:color w:val="auto"/>
          <w:highlight w:val="none"/>
        </w:rPr>
        <w:t>方案</w:t>
      </w:r>
      <w:r>
        <w:rPr>
          <w:color w:val="auto"/>
          <w:highlight w:val="none"/>
        </w:rPr>
        <w:tab/>
      </w:r>
      <w:r>
        <w:rPr>
          <w:color w:val="auto"/>
          <w:highlight w:val="none"/>
        </w:rPr>
        <w:fldChar w:fldCharType="begin"/>
      </w:r>
      <w:r>
        <w:rPr>
          <w:color w:val="auto"/>
          <w:highlight w:val="none"/>
        </w:rPr>
        <w:instrText xml:space="preserve"> PAGEREF _Toc18663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_Toc28308 </w:instrText>
      </w:r>
      <w:r>
        <w:rPr>
          <w:color w:val="auto"/>
          <w:highlight w:val="none"/>
        </w:rPr>
        <w:fldChar w:fldCharType="separate"/>
      </w:r>
      <w:r>
        <w:rPr>
          <w:rFonts w:hint="eastAsia"/>
          <w:color w:val="auto"/>
          <w:highlight w:val="none"/>
        </w:rPr>
        <w:t>十二、 商品包装、快递包装承诺函(如涉及)</w:t>
      </w:r>
      <w:r>
        <w:rPr>
          <w:color w:val="auto"/>
          <w:highlight w:val="none"/>
        </w:rPr>
        <w:tab/>
      </w:r>
      <w:r>
        <w:rPr>
          <w:color w:val="auto"/>
          <w:highlight w:val="none"/>
        </w:rPr>
        <w:fldChar w:fldCharType="begin"/>
      </w:r>
      <w:r>
        <w:rPr>
          <w:color w:val="auto"/>
          <w:highlight w:val="none"/>
        </w:rPr>
        <w:instrText xml:space="preserve"> PAGEREF _Toc28308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_Toc27985 </w:instrText>
      </w:r>
      <w:r>
        <w:rPr>
          <w:color w:val="auto"/>
          <w:highlight w:val="none"/>
        </w:rPr>
        <w:fldChar w:fldCharType="separate"/>
      </w:r>
      <w:r>
        <w:rPr>
          <w:rFonts w:hint="eastAsia"/>
          <w:color w:val="auto"/>
          <w:highlight w:val="none"/>
        </w:rPr>
        <w:t xml:space="preserve">十三、 </w:t>
      </w:r>
      <w:r>
        <w:rPr>
          <w:rFonts w:hint="eastAsia"/>
          <w:color w:val="auto"/>
          <w:highlight w:val="none"/>
          <w:lang w:val="en-US" w:eastAsia="zh-CN"/>
        </w:rPr>
        <w:t>投标人认为应当提供的其他证明材料</w:t>
      </w:r>
      <w:r>
        <w:rPr>
          <w:color w:val="auto"/>
          <w:highlight w:val="none"/>
        </w:rPr>
        <w:tab/>
      </w:r>
      <w:r>
        <w:rPr>
          <w:color w:val="auto"/>
          <w:highlight w:val="none"/>
        </w:rPr>
        <w:fldChar w:fldCharType="begin"/>
      </w:r>
      <w:r>
        <w:rPr>
          <w:color w:val="auto"/>
          <w:highlight w:val="none"/>
        </w:rPr>
        <w:instrText xml:space="preserve"> PAGEREF _Toc27985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_Toc13436 </w:instrText>
      </w:r>
      <w:r>
        <w:rPr>
          <w:color w:val="auto"/>
          <w:highlight w:val="none"/>
        </w:rPr>
        <w:fldChar w:fldCharType="separate"/>
      </w:r>
      <w:r>
        <w:rPr>
          <w:rFonts w:hint="eastAsia"/>
          <w:color w:val="auto"/>
          <w:highlight w:val="none"/>
        </w:rPr>
        <w:t>十四、 招标代理服务费承诺函</w:t>
      </w:r>
      <w:r>
        <w:rPr>
          <w:color w:val="auto"/>
          <w:highlight w:val="none"/>
        </w:rPr>
        <w:tab/>
      </w:r>
      <w:r>
        <w:rPr>
          <w:color w:val="auto"/>
          <w:highlight w:val="none"/>
        </w:rPr>
        <w:fldChar w:fldCharType="begin"/>
      </w:r>
      <w:r>
        <w:rPr>
          <w:color w:val="auto"/>
          <w:highlight w:val="none"/>
        </w:rPr>
        <w:instrText xml:space="preserve"> PAGEREF _Toc13436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18"/>
        <w:tabs>
          <w:tab w:val="clear" w:pos="0"/>
        </w:tabs>
        <w:rPr>
          <w:color w:val="auto"/>
          <w:highlight w:val="none"/>
        </w:rPr>
      </w:pPr>
      <w:r>
        <w:rPr>
          <w:color w:val="auto"/>
          <w:highlight w:val="none"/>
        </w:rPr>
        <w:fldChar w:fldCharType="begin"/>
      </w:r>
      <w:r>
        <w:rPr>
          <w:color w:val="auto"/>
          <w:highlight w:val="none"/>
        </w:rPr>
        <w:instrText xml:space="preserve"> HYPERLINK \l _Toc7366 </w:instrText>
      </w:r>
      <w:r>
        <w:rPr>
          <w:color w:val="auto"/>
          <w:highlight w:val="none"/>
        </w:rPr>
        <w:fldChar w:fldCharType="separate"/>
      </w:r>
      <w:r>
        <w:rPr>
          <w:rFonts w:hint="eastAsia" w:ascii="宋体" w:hAnsi="宋体" w:eastAsia="宋体" w:cs="宋体"/>
          <w:color w:val="auto"/>
          <w:w w:val="95"/>
          <w:highlight w:val="none"/>
        </w:rPr>
        <w:t xml:space="preserve">第四章 </w:t>
      </w:r>
      <w:r>
        <w:rPr>
          <w:rFonts w:hint="eastAsia"/>
          <w:color w:val="auto"/>
          <w:w w:val="95"/>
          <w:highlight w:val="none"/>
        </w:rPr>
        <w:t>投标人和投标产品的资格、资质性及其他类似效力要求</w:t>
      </w:r>
      <w:r>
        <w:rPr>
          <w:color w:val="auto"/>
          <w:highlight w:val="none"/>
        </w:rPr>
        <w:tab/>
      </w:r>
      <w:r>
        <w:rPr>
          <w:color w:val="auto"/>
          <w:highlight w:val="none"/>
        </w:rPr>
        <w:fldChar w:fldCharType="begin"/>
      </w:r>
      <w:r>
        <w:rPr>
          <w:color w:val="auto"/>
          <w:highlight w:val="none"/>
        </w:rPr>
        <w:instrText xml:space="preserve"> PAGEREF _Toc7366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_Toc21172 </w:instrText>
      </w:r>
      <w:r>
        <w:rPr>
          <w:color w:val="auto"/>
          <w:highlight w:val="none"/>
        </w:rPr>
        <w:fldChar w:fldCharType="separate"/>
      </w:r>
      <w:r>
        <w:rPr>
          <w:rFonts w:hint="eastAsia" w:ascii="宋体" w:hAnsi="宋体" w:eastAsia="宋体" w:cs="宋体"/>
          <w:color w:val="auto"/>
          <w:highlight w:val="none"/>
          <w:lang w:val="zh-CN"/>
        </w:rPr>
        <w:t xml:space="preserve">一、 </w:t>
      </w:r>
      <w:r>
        <w:rPr>
          <w:rFonts w:hint="eastAsia"/>
          <w:color w:val="auto"/>
          <w:highlight w:val="none"/>
        </w:rPr>
        <w:t>投标人资格、资质性及其他类似效力要求</w:t>
      </w:r>
      <w:r>
        <w:rPr>
          <w:color w:val="auto"/>
          <w:highlight w:val="none"/>
        </w:rPr>
        <w:tab/>
      </w:r>
      <w:r>
        <w:rPr>
          <w:color w:val="auto"/>
          <w:highlight w:val="none"/>
        </w:rPr>
        <w:fldChar w:fldCharType="begin"/>
      </w:r>
      <w:r>
        <w:rPr>
          <w:color w:val="auto"/>
          <w:highlight w:val="none"/>
        </w:rPr>
        <w:instrText xml:space="preserve"> PAGEREF _Toc21172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_Toc11256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投标产品的资格、资质性及其他类似效力要求</w:t>
      </w:r>
      <w:r>
        <w:rPr>
          <w:color w:val="auto"/>
          <w:highlight w:val="none"/>
        </w:rPr>
        <w:tab/>
      </w:r>
      <w:r>
        <w:rPr>
          <w:color w:val="auto"/>
          <w:highlight w:val="none"/>
        </w:rPr>
        <w:fldChar w:fldCharType="begin"/>
      </w:r>
      <w:r>
        <w:rPr>
          <w:color w:val="auto"/>
          <w:highlight w:val="none"/>
        </w:rPr>
        <w:instrText xml:space="preserve"> PAGEREF _Toc11256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_Toc6320 </w:instrText>
      </w:r>
      <w:r>
        <w:rPr>
          <w:color w:val="auto"/>
          <w:highlight w:val="none"/>
        </w:rPr>
        <w:fldChar w:fldCharType="separate"/>
      </w:r>
      <w:r>
        <w:rPr>
          <w:rFonts w:hint="eastAsia" w:ascii="宋体" w:hAnsi="宋体" w:eastAsia="宋体" w:cs="宋体"/>
          <w:color w:val="auto"/>
          <w:highlight w:val="none"/>
        </w:rPr>
        <w:t xml:space="preserve">三、 </w:t>
      </w:r>
      <w:r>
        <w:rPr>
          <w:rFonts w:hint="eastAsia"/>
          <w:color w:val="auto"/>
          <w:highlight w:val="none"/>
        </w:rPr>
        <w:t>其他类似效力要求</w:t>
      </w:r>
      <w:r>
        <w:rPr>
          <w:color w:val="auto"/>
          <w:highlight w:val="none"/>
        </w:rPr>
        <w:tab/>
      </w:r>
      <w:r>
        <w:rPr>
          <w:color w:val="auto"/>
          <w:highlight w:val="none"/>
        </w:rPr>
        <w:fldChar w:fldCharType="begin"/>
      </w:r>
      <w:r>
        <w:rPr>
          <w:color w:val="auto"/>
          <w:highlight w:val="none"/>
        </w:rPr>
        <w:instrText xml:space="preserve"> PAGEREF _Toc6320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pPr>
        <w:pStyle w:val="18"/>
        <w:tabs>
          <w:tab w:val="clear" w:pos="0"/>
        </w:tabs>
        <w:rPr>
          <w:color w:val="auto"/>
          <w:highlight w:val="none"/>
        </w:rPr>
      </w:pPr>
      <w:r>
        <w:rPr>
          <w:color w:val="auto"/>
          <w:highlight w:val="none"/>
        </w:rPr>
        <w:fldChar w:fldCharType="begin"/>
      </w:r>
      <w:r>
        <w:rPr>
          <w:color w:val="auto"/>
          <w:highlight w:val="none"/>
        </w:rPr>
        <w:instrText xml:space="preserve"> HYPERLINK \l _Toc27628 </w:instrText>
      </w:r>
      <w:r>
        <w:rPr>
          <w:color w:val="auto"/>
          <w:highlight w:val="none"/>
        </w:rPr>
        <w:fldChar w:fldCharType="separate"/>
      </w:r>
      <w:r>
        <w:rPr>
          <w:rFonts w:hint="eastAsia" w:ascii="宋体" w:hAnsi="宋体" w:eastAsia="宋体" w:cs="宋体"/>
          <w:color w:val="auto"/>
          <w:highlight w:val="none"/>
        </w:rPr>
        <w:t xml:space="preserve">第五章 </w:t>
      </w:r>
      <w:r>
        <w:rPr>
          <w:rFonts w:hint="eastAsia"/>
          <w:color w:val="auto"/>
          <w:highlight w:val="none"/>
        </w:rPr>
        <w:t>资格性审查内容</w:t>
      </w:r>
      <w:r>
        <w:rPr>
          <w:color w:val="auto"/>
          <w:highlight w:val="none"/>
        </w:rPr>
        <w:tab/>
      </w:r>
      <w:r>
        <w:rPr>
          <w:color w:val="auto"/>
          <w:highlight w:val="none"/>
        </w:rPr>
        <w:fldChar w:fldCharType="begin"/>
      </w:r>
      <w:r>
        <w:rPr>
          <w:color w:val="auto"/>
          <w:highlight w:val="none"/>
        </w:rPr>
        <w:instrText xml:space="preserve"> PAGEREF _Toc27628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_Toc23868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应当提供的投标人及投标产品资格、资质性及其他类似效力要求的相关证明材料</w:t>
      </w:r>
      <w:r>
        <w:rPr>
          <w:color w:val="auto"/>
          <w:highlight w:val="none"/>
        </w:rPr>
        <w:tab/>
      </w:r>
      <w:r>
        <w:rPr>
          <w:color w:val="auto"/>
          <w:highlight w:val="none"/>
        </w:rPr>
        <w:fldChar w:fldCharType="begin"/>
      </w:r>
      <w:r>
        <w:rPr>
          <w:color w:val="auto"/>
          <w:highlight w:val="none"/>
        </w:rPr>
        <w:instrText xml:space="preserve"> PAGEREF _Toc23868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_Toc25264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审查程序</w:t>
      </w:r>
      <w:r>
        <w:rPr>
          <w:color w:val="auto"/>
          <w:highlight w:val="none"/>
        </w:rPr>
        <w:tab/>
      </w:r>
      <w:r>
        <w:rPr>
          <w:color w:val="auto"/>
          <w:highlight w:val="none"/>
        </w:rPr>
        <w:fldChar w:fldCharType="begin"/>
      </w:r>
      <w:r>
        <w:rPr>
          <w:color w:val="auto"/>
          <w:highlight w:val="none"/>
        </w:rPr>
        <w:instrText xml:space="preserve"> PAGEREF _Toc25264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pPr>
        <w:pStyle w:val="18"/>
        <w:tabs>
          <w:tab w:val="clear" w:pos="0"/>
        </w:tabs>
        <w:rPr>
          <w:color w:val="auto"/>
          <w:highlight w:val="none"/>
        </w:rPr>
      </w:pPr>
      <w:r>
        <w:rPr>
          <w:color w:val="auto"/>
          <w:highlight w:val="none"/>
        </w:rPr>
        <w:fldChar w:fldCharType="begin"/>
      </w:r>
      <w:r>
        <w:rPr>
          <w:color w:val="auto"/>
          <w:highlight w:val="none"/>
        </w:rPr>
        <w:instrText xml:space="preserve"> HYPERLINK \l _Toc14040 </w:instrText>
      </w:r>
      <w:r>
        <w:rPr>
          <w:color w:val="auto"/>
          <w:highlight w:val="none"/>
        </w:rPr>
        <w:fldChar w:fldCharType="separate"/>
      </w:r>
      <w:r>
        <w:rPr>
          <w:rFonts w:hint="eastAsia" w:ascii="宋体" w:hAnsi="宋体" w:eastAsia="宋体" w:cs="宋体"/>
          <w:color w:val="auto"/>
          <w:highlight w:val="none"/>
        </w:rPr>
        <w:t xml:space="preserve">第六章 </w:t>
      </w:r>
      <w:r>
        <w:rPr>
          <w:rFonts w:hint="eastAsia"/>
          <w:color w:val="auto"/>
          <w:highlight w:val="none"/>
        </w:rPr>
        <w:t>招标项目技术、服务、</w:t>
      </w:r>
      <w:r>
        <w:rPr>
          <w:rFonts w:hint="eastAsia"/>
          <w:color w:val="auto"/>
          <w:highlight w:val="none"/>
          <w:lang w:eastAsia="zh-CN"/>
        </w:rPr>
        <w:t>采购合同</w:t>
      </w:r>
      <w:r>
        <w:rPr>
          <w:rFonts w:hint="eastAsia"/>
          <w:color w:val="auto"/>
          <w:highlight w:val="none"/>
        </w:rPr>
        <w:t>内容条款及其他商务要求</w:t>
      </w:r>
      <w:r>
        <w:rPr>
          <w:color w:val="auto"/>
          <w:highlight w:val="none"/>
        </w:rPr>
        <w:tab/>
      </w:r>
      <w:r>
        <w:rPr>
          <w:color w:val="auto"/>
          <w:highlight w:val="none"/>
        </w:rPr>
        <w:fldChar w:fldCharType="begin"/>
      </w:r>
      <w:r>
        <w:rPr>
          <w:color w:val="auto"/>
          <w:highlight w:val="none"/>
        </w:rPr>
        <w:instrText xml:space="preserve"> PAGEREF _Toc14040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_Toc31431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lang w:val="en-US" w:eastAsia="zh-CN"/>
        </w:rPr>
        <w:t>项目概况</w:t>
      </w:r>
      <w:r>
        <w:rPr>
          <w:color w:val="auto"/>
          <w:highlight w:val="none"/>
        </w:rPr>
        <w:tab/>
      </w:r>
      <w:r>
        <w:rPr>
          <w:color w:val="auto"/>
          <w:highlight w:val="none"/>
        </w:rPr>
        <w:fldChar w:fldCharType="begin"/>
      </w:r>
      <w:r>
        <w:rPr>
          <w:color w:val="auto"/>
          <w:highlight w:val="none"/>
        </w:rPr>
        <w:instrText xml:space="preserve"> PAGEREF _Toc31431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_Toc25588 </w:instrText>
      </w:r>
      <w:r>
        <w:rPr>
          <w:color w:val="auto"/>
          <w:highlight w:val="none"/>
        </w:rPr>
        <w:fldChar w:fldCharType="separate"/>
      </w:r>
      <w:r>
        <w:rPr>
          <w:rFonts w:hint="eastAsia" w:ascii="宋体" w:hAnsi="宋体" w:eastAsia="宋体" w:cs="宋体"/>
          <w:color w:val="auto"/>
          <w:highlight w:val="none"/>
          <w:lang w:val="en-US" w:eastAsia="zh-CN"/>
        </w:rPr>
        <w:t xml:space="preserve">二、 </w:t>
      </w:r>
      <w:r>
        <w:rPr>
          <w:rFonts w:hint="eastAsia"/>
          <w:color w:val="auto"/>
          <w:highlight w:val="none"/>
          <w:lang w:val="en-US" w:eastAsia="zh-CN"/>
        </w:rPr>
        <w:t>★采购标的</w:t>
      </w:r>
      <w:r>
        <w:rPr>
          <w:color w:val="auto"/>
          <w:highlight w:val="none"/>
        </w:rPr>
        <w:tab/>
      </w:r>
      <w:r>
        <w:rPr>
          <w:color w:val="auto"/>
          <w:highlight w:val="none"/>
        </w:rPr>
        <w:fldChar w:fldCharType="begin"/>
      </w:r>
      <w:r>
        <w:rPr>
          <w:color w:val="auto"/>
          <w:highlight w:val="none"/>
        </w:rPr>
        <w:instrText xml:space="preserve"> PAGEREF _Toc25588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_Toc26353 </w:instrText>
      </w:r>
      <w:r>
        <w:rPr>
          <w:color w:val="auto"/>
          <w:highlight w:val="none"/>
        </w:rPr>
        <w:fldChar w:fldCharType="separate"/>
      </w:r>
      <w:r>
        <w:rPr>
          <w:rFonts w:hint="eastAsia" w:ascii="宋体" w:hAnsi="宋体" w:eastAsia="宋体" w:cs="宋体"/>
          <w:color w:val="auto"/>
          <w:highlight w:val="none"/>
        </w:rPr>
        <w:t xml:space="preserve">三、 </w:t>
      </w:r>
      <w:r>
        <w:rPr>
          <w:rFonts w:hint="eastAsia"/>
          <w:color w:val="auto"/>
          <w:highlight w:val="none"/>
          <w:lang w:val="en-US" w:eastAsia="zh-CN"/>
        </w:rPr>
        <w:t>技术参数及配置要求</w:t>
      </w:r>
      <w:r>
        <w:rPr>
          <w:color w:val="auto"/>
          <w:highlight w:val="none"/>
        </w:rPr>
        <w:tab/>
      </w:r>
      <w:r>
        <w:rPr>
          <w:color w:val="auto"/>
          <w:highlight w:val="none"/>
        </w:rPr>
        <w:fldChar w:fldCharType="begin"/>
      </w:r>
      <w:r>
        <w:rPr>
          <w:color w:val="auto"/>
          <w:highlight w:val="none"/>
        </w:rPr>
        <w:instrText xml:space="preserve"> PAGEREF _Toc26353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_Toc18968 </w:instrText>
      </w:r>
      <w:r>
        <w:rPr>
          <w:color w:val="auto"/>
          <w:highlight w:val="none"/>
        </w:rPr>
        <w:fldChar w:fldCharType="separate"/>
      </w:r>
      <w:r>
        <w:rPr>
          <w:rFonts w:hint="eastAsia" w:ascii="宋体" w:hAnsi="宋体" w:eastAsia="宋体" w:cs="宋体"/>
          <w:color w:val="auto"/>
          <w:highlight w:val="none"/>
          <w:lang w:val="en-US" w:eastAsia="zh-CN"/>
        </w:rPr>
        <w:t xml:space="preserve">四、 </w:t>
      </w:r>
      <w:r>
        <w:rPr>
          <w:rFonts w:hint="eastAsia" w:ascii="宋体" w:hAnsi="宋体" w:eastAsia="宋体"/>
          <w:color w:val="auto"/>
          <w:highlight w:val="none"/>
          <w:lang w:val="en-US" w:eastAsia="zh-CN"/>
        </w:rPr>
        <w:t>技术服务水平</w:t>
      </w:r>
      <w:r>
        <w:rPr>
          <w:color w:val="auto"/>
          <w:highlight w:val="none"/>
        </w:rPr>
        <w:tab/>
      </w:r>
      <w:r>
        <w:rPr>
          <w:color w:val="auto"/>
          <w:highlight w:val="none"/>
        </w:rPr>
        <w:fldChar w:fldCharType="begin"/>
      </w:r>
      <w:r>
        <w:rPr>
          <w:color w:val="auto"/>
          <w:highlight w:val="none"/>
        </w:rPr>
        <w:instrText xml:space="preserve"> PAGEREF _Toc18968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_Toc9532 </w:instrText>
      </w:r>
      <w:r>
        <w:rPr>
          <w:color w:val="auto"/>
          <w:highlight w:val="none"/>
        </w:rPr>
        <w:fldChar w:fldCharType="separate"/>
      </w:r>
      <w:r>
        <w:rPr>
          <w:rFonts w:hint="eastAsia" w:ascii="宋体" w:hAnsi="宋体" w:eastAsia="宋体" w:cs="宋体"/>
          <w:color w:val="auto"/>
          <w:highlight w:val="none"/>
          <w:lang w:val="en-US" w:eastAsia="zh-CN"/>
        </w:rPr>
        <w:t xml:space="preserve">五、 </w:t>
      </w:r>
      <w:r>
        <w:rPr>
          <w:rFonts w:hint="eastAsia"/>
          <w:color w:val="auto"/>
          <w:highlight w:val="none"/>
          <w:lang w:val="en-US" w:eastAsia="zh-CN"/>
        </w:rPr>
        <w:t>★商务要求</w:t>
      </w:r>
      <w:r>
        <w:rPr>
          <w:color w:val="auto"/>
          <w:highlight w:val="none"/>
        </w:rPr>
        <w:tab/>
      </w:r>
      <w:r>
        <w:rPr>
          <w:color w:val="auto"/>
          <w:highlight w:val="none"/>
        </w:rPr>
        <w:fldChar w:fldCharType="begin"/>
      </w:r>
      <w:r>
        <w:rPr>
          <w:color w:val="auto"/>
          <w:highlight w:val="none"/>
        </w:rPr>
        <w:instrText xml:space="preserve"> PAGEREF _Toc9532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_Toc18506 </w:instrText>
      </w:r>
      <w:r>
        <w:rPr>
          <w:color w:val="auto"/>
          <w:highlight w:val="none"/>
        </w:rPr>
        <w:fldChar w:fldCharType="separate"/>
      </w:r>
      <w:r>
        <w:rPr>
          <w:rFonts w:hint="eastAsia" w:ascii="宋体" w:hAnsi="宋体" w:eastAsia="宋体" w:cs="宋体"/>
          <w:color w:val="auto"/>
          <w:kern w:val="0"/>
          <w:szCs w:val="24"/>
          <w:highlight w:val="none"/>
          <w:lang w:val="en-US" w:eastAsia="zh-CN"/>
        </w:rPr>
        <w:t xml:space="preserve">六、 </w:t>
      </w:r>
      <w:r>
        <w:rPr>
          <w:rFonts w:hint="eastAsia"/>
          <w:color w:val="auto"/>
          <w:highlight w:val="none"/>
          <w:lang w:val="en-US" w:eastAsia="zh-CN"/>
        </w:rPr>
        <w:t>★</w:t>
      </w:r>
      <w:r>
        <w:rPr>
          <w:rFonts w:hint="eastAsia" w:asciiTheme="minorEastAsia" w:hAnsiTheme="minorEastAsia" w:eastAsiaTheme="minorEastAsia" w:cstheme="minorEastAsia"/>
          <w:color w:val="auto"/>
          <w:kern w:val="0"/>
          <w:szCs w:val="24"/>
          <w:highlight w:val="none"/>
          <w:lang w:val="en-US" w:eastAsia="zh-CN"/>
        </w:rPr>
        <w:t>履约保证金</w:t>
      </w:r>
      <w:r>
        <w:rPr>
          <w:color w:val="auto"/>
          <w:highlight w:val="none"/>
        </w:rPr>
        <w:tab/>
      </w:r>
      <w:r>
        <w:rPr>
          <w:color w:val="auto"/>
          <w:highlight w:val="none"/>
        </w:rPr>
        <w:fldChar w:fldCharType="begin"/>
      </w:r>
      <w:r>
        <w:rPr>
          <w:color w:val="auto"/>
          <w:highlight w:val="none"/>
        </w:rPr>
        <w:instrText xml:space="preserve"> PAGEREF _Toc18506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_Toc333 </w:instrText>
      </w:r>
      <w:r>
        <w:rPr>
          <w:color w:val="auto"/>
          <w:highlight w:val="none"/>
        </w:rPr>
        <w:fldChar w:fldCharType="separate"/>
      </w:r>
      <w:r>
        <w:rPr>
          <w:rFonts w:hint="eastAsia" w:ascii="宋体" w:hAnsi="宋体" w:eastAsia="宋体" w:cs="宋体"/>
          <w:color w:val="auto"/>
          <w:highlight w:val="none"/>
          <w:lang w:val="en-US" w:eastAsia="zh-CN"/>
        </w:rPr>
        <w:t xml:space="preserve">七、 </w:t>
      </w:r>
      <w:r>
        <w:rPr>
          <w:rFonts w:hint="eastAsia"/>
          <w:color w:val="auto"/>
          <w:highlight w:val="none"/>
          <w:lang w:val="en-US" w:eastAsia="zh-CN"/>
        </w:rPr>
        <w:t>投标样品要求</w:t>
      </w:r>
      <w:r>
        <w:rPr>
          <w:color w:val="auto"/>
          <w:highlight w:val="none"/>
        </w:rPr>
        <w:tab/>
      </w:r>
      <w:r>
        <w:rPr>
          <w:color w:val="auto"/>
          <w:highlight w:val="none"/>
        </w:rPr>
        <w:fldChar w:fldCharType="begin"/>
      </w:r>
      <w:r>
        <w:rPr>
          <w:color w:val="auto"/>
          <w:highlight w:val="none"/>
        </w:rPr>
        <w:instrText xml:space="preserve"> PAGEREF _Toc333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pPr>
        <w:pStyle w:val="18"/>
        <w:tabs>
          <w:tab w:val="clear" w:pos="0"/>
        </w:tabs>
        <w:rPr>
          <w:color w:val="auto"/>
          <w:highlight w:val="none"/>
        </w:rPr>
      </w:pPr>
      <w:r>
        <w:rPr>
          <w:color w:val="auto"/>
          <w:highlight w:val="none"/>
        </w:rPr>
        <w:fldChar w:fldCharType="begin"/>
      </w:r>
      <w:r>
        <w:rPr>
          <w:color w:val="auto"/>
          <w:highlight w:val="none"/>
        </w:rPr>
        <w:instrText xml:space="preserve"> HYPERLINK \l _Toc26579 </w:instrText>
      </w:r>
      <w:r>
        <w:rPr>
          <w:color w:val="auto"/>
          <w:highlight w:val="none"/>
        </w:rPr>
        <w:fldChar w:fldCharType="separate"/>
      </w:r>
      <w:r>
        <w:rPr>
          <w:rFonts w:hint="eastAsia" w:ascii="宋体" w:hAnsi="宋体" w:eastAsia="宋体" w:cs="宋体"/>
          <w:color w:val="auto"/>
          <w:highlight w:val="none"/>
        </w:rPr>
        <w:t xml:space="preserve">第七章 </w:t>
      </w:r>
      <w:r>
        <w:rPr>
          <w:rFonts w:hint="eastAsia"/>
          <w:color w:val="auto"/>
          <w:highlight w:val="none"/>
        </w:rPr>
        <w:t>评标办法</w:t>
      </w:r>
      <w:r>
        <w:rPr>
          <w:color w:val="auto"/>
          <w:highlight w:val="none"/>
        </w:rPr>
        <w:tab/>
      </w:r>
      <w:r>
        <w:rPr>
          <w:color w:val="auto"/>
          <w:highlight w:val="none"/>
        </w:rPr>
        <w:fldChar w:fldCharType="begin"/>
      </w:r>
      <w:r>
        <w:rPr>
          <w:color w:val="auto"/>
          <w:highlight w:val="none"/>
        </w:rPr>
        <w:instrText xml:space="preserve"> PAGEREF _Toc26579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_Toc18223 </w:instrText>
      </w:r>
      <w:r>
        <w:rPr>
          <w:color w:val="auto"/>
          <w:highlight w:val="none"/>
        </w:rPr>
        <w:fldChar w:fldCharType="separate"/>
      </w:r>
      <w:r>
        <w:rPr>
          <w:rFonts w:hint="eastAsia" w:ascii="宋体" w:hAnsi="宋体" w:eastAsia="宋体" w:cs="宋体"/>
          <w:color w:val="auto"/>
          <w:highlight w:val="none"/>
        </w:rPr>
        <w:t xml:space="preserve">一、 </w:t>
      </w:r>
      <w:r>
        <w:rPr>
          <w:rFonts w:hint="eastAsia"/>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_Toc18223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_Toc3873 </w:instrText>
      </w:r>
      <w:r>
        <w:rPr>
          <w:color w:val="auto"/>
          <w:highlight w:val="none"/>
        </w:rPr>
        <w:fldChar w:fldCharType="separate"/>
      </w:r>
      <w:r>
        <w:rPr>
          <w:rFonts w:hint="eastAsia" w:ascii="宋体" w:hAnsi="宋体" w:eastAsia="宋体" w:cs="宋体"/>
          <w:color w:val="auto"/>
          <w:highlight w:val="none"/>
        </w:rPr>
        <w:t xml:space="preserve">二、 </w:t>
      </w:r>
      <w:r>
        <w:rPr>
          <w:rFonts w:hint="eastAsia"/>
          <w:color w:val="auto"/>
          <w:highlight w:val="none"/>
        </w:rPr>
        <w:t>评标方法</w:t>
      </w:r>
      <w:r>
        <w:rPr>
          <w:color w:val="auto"/>
          <w:highlight w:val="none"/>
        </w:rPr>
        <w:tab/>
      </w:r>
      <w:r>
        <w:rPr>
          <w:color w:val="auto"/>
          <w:highlight w:val="none"/>
        </w:rPr>
        <w:fldChar w:fldCharType="begin"/>
      </w:r>
      <w:r>
        <w:rPr>
          <w:color w:val="auto"/>
          <w:highlight w:val="none"/>
        </w:rPr>
        <w:instrText xml:space="preserve"> PAGEREF _Toc3873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_Toc26858 </w:instrText>
      </w:r>
      <w:r>
        <w:rPr>
          <w:color w:val="auto"/>
          <w:highlight w:val="none"/>
        </w:rPr>
        <w:fldChar w:fldCharType="separate"/>
      </w:r>
      <w:r>
        <w:rPr>
          <w:rFonts w:hint="eastAsia" w:ascii="宋体" w:hAnsi="宋体" w:eastAsia="宋体" w:cs="宋体"/>
          <w:color w:val="auto"/>
          <w:highlight w:val="none"/>
        </w:rPr>
        <w:t xml:space="preserve">三、 </w:t>
      </w:r>
      <w:r>
        <w:rPr>
          <w:rFonts w:hint="eastAsia"/>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_Toc26858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_Toc23454 </w:instrText>
      </w:r>
      <w:r>
        <w:rPr>
          <w:color w:val="auto"/>
          <w:highlight w:val="none"/>
        </w:rPr>
        <w:fldChar w:fldCharType="separate"/>
      </w:r>
      <w:r>
        <w:rPr>
          <w:rFonts w:hint="eastAsia" w:ascii="宋体" w:hAnsi="宋体" w:eastAsia="宋体" w:cs="宋体"/>
          <w:color w:val="auto"/>
          <w:highlight w:val="none"/>
        </w:rPr>
        <w:t xml:space="preserve">四、 </w:t>
      </w:r>
      <w:r>
        <w:rPr>
          <w:rFonts w:hint="eastAsia"/>
          <w:color w:val="auto"/>
          <w:highlight w:val="none"/>
        </w:rPr>
        <w:t>评标细则及标准</w:t>
      </w:r>
      <w:r>
        <w:rPr>
          <w:color w:val="auto"/>
          <w:highlight w:val="none"/>
        </w:rPr>
        <w:tab/>
      </w:r>
      <w:r>
        <w:rPr>
          <w:color w:val="auto"/>
          <w:highlight w:val="none"/>
        </w:rPr>
        <w:fldChar w:fldCharType="begin"/>
      </w:r>
      <w:r>
        <w:rPr>
          <w:color w:val="auto"/>
          <w:highlight w:val="none"/>
        </w:rPr>
        <w:instrText xml:space="preserve"> PAGEREF _Toc23454 \h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_Toc1158 </w:instrText>
      </w:r>
      <w:r>
        <w:rPr>
          <w:color w:val="auto"/>
          <w:highlight w:val="none"/>
        </w:rPr>
        <w:fldChar w:fldCharType="separate"/>
      </w:r>
      <w:r>
        <w:rPr>
          <w:rFonts w:hint="eastAsia" w:ascii="宋体" w:hAnsi="宋体" w:eastAsia="宋体" w:cs="宋体"/>
          <w:color w:val="auto"/>
          <w:highlight w:val="none"/>
        </w:rPr>
        <w:t xml:space="preserve">五、 </w:t>
      </w:r>
      <w:r>
        <w:rPr>
          <w:rFonts w:hint="eastAsia"/>
          <w:color w:val="auto"/>
          <w:highlight w:val="none"/>
        </w:rPr>
        <w:t>复核</w:t>
      </w:r>
      <w:r>
        <w:rPr>
          <w:color w:val="auto"/>
          <w:highlight w:val="none"/>
        </w:rPr>
        <w:tab/>
      </w:r>
      <w:r>
        <w:rPr>
          <w:color w:val="auto"/>
          <w:highlight w:val="none"/>
        </w:rPr>
        <w:fldChar w:fldCharType="begin"/>
      </w:r>
      <w:r>
        <w:rPr>
          <w:color w:val="auto"/>
          <w:highlight w:val="none"/>
        </w:rPr>
        <w:instrText xml:space="preserve"> PAGEREF _Toc1158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_Toc17203 </w:instrText>
      </w:r>
      <w:r>
        <w:rPr>
          <w:color w:val="auto"/>
          <w:highlight w:val="none"/>
        </w:rPr>
        <w:fldChar w:fldCharType="separate"/>
      </w:r>
      <w:r>
        <w:rPr>
          <w:rFonts w:hint="eastAsia" w:ascii="宋体" w:hAnsi="宋体" w:eastAsia="宋体" w:cs="宋体"/>
          <w:color w:val="auto"/>
          <w:highlight w:val="none"/>
        </w:rPr>
        <w:t xml:space="preserve">六、 </w:t>
      </w:r>
      <w:r>
        <w:rPr>
          <w:rFonts w:hint="eastAsia"/>
          <w:color w:val="auto"/>
          <w:highlight w:val="none"/>
        </w:rPr>
        <w:t>推荐中标候选供应商</w:t>
      </w:r>
      <w:r>
        <w:rPr>
          <w:color w:val="auto"/>
          <w:highlight w:val="none"/>
        </w:rPr>
        <w:tab/>
      </w:r>
      <w:r>
        <w:rPr>
          <w:color w:val="auto"/>
          <w:highlight w:val="none"/>
        </w:rPr>
        <w:fldChar w:fldCharType="begin"/>
      </w:r>
      <w:r>
        <w:rPr>
          <w:color w:val="auto"/>
          <w:highlight w:val="none"/>
        </w:rPr>
        <w:instrText xml:space="preserve"> PAGEREF _Toc17203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_Toc26035 </w:instrText>
      </w:r>
      <w:r>
        <w:rPr>
          <w:color w:val="auto"/>
          <w:highlight w:val="none"/>
        </w:rPr>
        <w:fldChar w:fldCharType="separate"/>
      </w:r>
      <w:r>
        <w:rPr>
          <w:rFonts w:hint="eastAsia" w:ascii="宋体" w:hAnsi="宋体" w:eastAsia="宋体" w:cs="宋体"/>
          <w:color w:val="auto"/>
          <w:highlight w:val="none"/>
        </w:rPr>
        <w:t xml:space="preserve">七、 </w:t>
      </w:r>
      <w:r>
        <w:rPr>
          <w:rFonts w:hint="eastAsia"/>
          <w:color w:val="auto"/>
          <w:highlight w:val="none"/>
        </w:rPr>
        <w:t>出具评标报告</w:t>
      </w:r>
      <w:r>
        <w:rPr>
          <w:color w:val="auto"/>
          <w:highlight w:val="none"/>
        </w:rPr>
        <w:tab/>
      </w:r>
      <w:r>
        <w:rPr>
          <w:color w:val="auto"/>
          <w:highlight w:val="none"/>
        </w:rPr>
        <w:fldChar w:fldCharType="begin"/>
      </w:r>
      <w:r>
        <w:rPr>
          <w:color w:val="auto"/>
          <w:highlight w:val="none"/>
        </w:rPr>
        <w:instrText xml:space="preserve"> PAGEREF _Toc26035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_Toc653 </w:instrText>
      </w:r>
      <w:r>
        <w:rPr>
          <w:color w:val="auto"/>
          <w:highlight w:val="none"/>
        </w:rPr>
        <w:fldChar w:fldCharType="separate"/>
      </w:r>
      <w:r>
        <w:rPr>
          <w:rFonts w:hint="eastAsia" w:ascii="宋体" w:hAnsi="宋体" w:eastAsia="宋体" w:cs="宋体"/>
          <w:color w:val="auto"/>
          <w:highlight w:val="none"/>
        </w:rPr>
        <w:t xml:space="preserve">八、 </w:t>
      </w:r>
      <w:r>
        <w:rPr>
          <w:rFonts w:hint="eastAsia"/>
          <w:color w:val="auto"/>
          <w:highlight w:val="none"/>
        </w:rPr>
        <w:t>废标</w:t>
      </w:r>
      <w:r>
        <w:rPr>
          <w:color w:val="auto"/>
          <w:highlight w:val="none"/>
        </w:rPr>
        <w:tab/>
      </w:r>
      <w:r>
        <w:rPr>
          <w:color w:val="auto"/>
          <w:highlight w:val="none"/>
        </w:rPr>
        <w:fldChar w:fldCharType="begin"/>
      </w:r>
      <w:r>
        <w:rPr>
          <w:color w:val="auto"/>
          <w:highlight w:val="none"/>
        </w:rPr>
        <w:instrText xml:space="preserve"> PAGEREF _Toc653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pPr>
        <w:pStyle w:val="20"/>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_Toc32542 </w:instrText>
      </w:r>
      <w:r>
        <w:rPr>
          <w:color w:val="auto"/>
          <w:highlight w:val="none"/>
        </w:rPr>
        <w:fldChar w:fldCharType="separate"/>
      </w:r>
      <w:r>
        <w:rPr>
          <w:rFonts w:hint="eastAsia" w:ascii="宋体" w:hAnsi="宋体" w:eastAsia="宋体" w:cs="宋体"/>
          <w:color w:val="auto"/>
          <w:highlight w:val="none"/>
        </w:rPr>
        <w:t xml:space="preserve">九、 </w:t>
      </w:r>
      <w:r>
        <w:rPr>
          <w:rFonts w:hint="eastAsia"/>
          <w:color w:val="auto"/>
          <w:highlight w:val="none"/>
        </w:rPr>
        <w:t>定标</w:t>
      </w:r>
      <w:r>
        <w:rPr>
          <w:color w:val="auto"/>
          <w:highlight w:val="none"/>
        </w:rPr>
        <w:tab/>
      </w:r>
      <w:r>
        <w:rPr>
          <w:color w:val="auto"/>
          <w:highlight w:val="none"/>
        </w:rPr>
        <w:fldChar w:fldCharType="begin"/>
      </w:r>
      <w:r>
        <w:rPr>
          <w:color w:val="auto"/>
          <w:highlight w:val="none"/>
        </w:rPr>
        <w:instrText xml:space="preserve"> PAGEREF _Toc32542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pPr>
        <w:pStyle w:val="18"/>
        <w:tabs>
          <w:tab w:val="clear" w:pos="0"/>
        </w:tabs>
        <w:rPr>
          <w:color w:val="auto"/>
          <w:highlight w:val="none"/>
        </w:rPr>
      </w:pPr>
      <w:r>
        <w:rPr>
          <w:color w:val="auto"/>
          <w:highlight w:val="none"/>
        </w:rPr>
        <w:fldChar w:fldCharType="begin"/>
      </w:r>
      <w:r>
        <w:rPr>
          <w:color w:val="auto"/>
          <w:highlight w:val="none"/>
        </w:rPr>
        <w:instrText xml:space="preserve"> HYPERLINK \l _Toc12152 </w:instrText>
      </w:r>
      <w:r>
        <w:rPr>
          <w:color w:val="auto"/>
          <w:highlight w:val="none"/>
        </w:rPr>
        <w:fldChar w:fldCharType="separate"/>
      </w:r>
      <w:r>
        <w:rPr>
          <w:rFonts w:hint="eastAsia" w:ascii="宋体" w:hAnsi="宋体" w:eastAsia="宋体" w:cs="宋体"/>
          <w:color w:val="auto"/>
          <w:highlight w:val="none"/>
        </w:rPr>
        <w:t xml:space="preserve">第八章 </w:t>
      </w:r>
      <w:r>
        <w:rPr>
          <w:rFonts w:hint="eastAsia"/>
          <w:color w:val="auto"/>
          <w:highlight w:val="none"/>
          <w:lang w:eastAsia="zh-CN"/>
        </w:rPr>
        <w:t>采购合同</w:t>
      </w:r>
      <w:r>
        <w:rPr>
          <w:color w:val="auto"/>
          <w:highlight w:val="none"/>
        </w:rPr>
        <w:tab/>
      </w:r>
      <w:r>
        <w:rPr>
          <w:color w:val="auto"/>
          <w:highlight w:val="none"/>
        </w:rPr>
        <w:fldChar w:fldCharType="begin"/>
      </w:r>
      <w:r>
        <w:rPr>
          <w:color w:val="auto"/>
          <w:highlight w:val="none"/>
        </w:rPr>
        <w:instrText xml:space="preserve"> PAGEREF _Toc12152 \h </w:instrText>
      </w:r>
      <w:r>
        <w:rPr>
          <w:color w:val="auto"/>
          <w:highlight w:val="none"/>
        </w:rPr>
        <w:fldChar w:fldCharType="separate"/>
      </w:r>
      <w:r>
        <w:rPr>
          <w:color w:val="auto"/>
          <w:highlight w:val="none"/>
        </w:rPr>
        <w:t>92</w:t>
      </w:r>
      <w:r>
        <w:rPr>
          <w:color w:val="auto"/>
          <w:highlight w:val="none"/>
        </w:rPr>
        <w:fldChar w:fldCharType="end"/>
      </w:r>
      <w:r>
        <w:rPr>
          <w:color w:val="auto"/>
          <w:highlight w:val="none"/>
        </w:rPr>
        <w:fldChar w:fldCharType="end"/>
      </w:r>
    </w:p>
    <w:p>
      <w:pPr>
        <w:pStyle w:val="18"/>
        <w:tabs>
          <w:tab w:val="clear" w:pos="0"/>
        </w:tabs>
        <w:rPr>
          <w:color w:val="auto"/>
          <w:highlight w:val="none"/>
        </w:rPr>
      </w:pPr>
      <w:r>
        <w:rPr>
          <w:color w:val="auto"/>
          <w:highlight w:val="none"/>
        </w:rPr>
        <w:fldChar w:fldCharType="begin"/>
      </w:r>
      <w:r>
        <w:rPr>
          <w:color w:val="auto"/>
          <w:highlight w:val="none"/>
        </w:rPr>
        <w:instrText xml:space="preserve"> HYPERLINK \l _Toc3572 </w:instrText>
      </w:r>
      <w:r>
        <w:rPr>
          <w:color w:val="auto"/>
          <w:highlight w:val="none"/>
        </w:rPr>
        <w:fldChar w:fldCharType="separate"/>
      </w:r>
      <w:r>
        <w:rPr>
          <w:rFonts w:hint="eastAsia" w:ascii="宋体" w:hAnsi="宋体" w:eastAsia="宋体" w:cs="宋体"/>
          <w:color w:val="auto"/>
          <w:highlight w:val="none"/>
        </w:rPr>
        <w:t xml:space="preserve">第九章 </w:t>
      </w:r>
      <w:r>
        <w:rPr>
          <w:rFonts w:hint="eastAsia"/>
          <w:color w:val="auto"/>
          <w:highlight w:val="none"/>
        </w:rPr>
        <w:t>附件</w:t>
      </w:r>
      <w:r>
        <w:rPr>
          <w:color w:val="auto"/>
          <w:highlight w:val="none"/>
        </w:rPr>
        <w:tab/>
      </w:r>
      <w:r>
        <w:rPr>
          <w:color w:val="auto"/>
          <w:highlight w:val="none"/>
        </w:rPr>
        <w:fldChar w:fldCharType="begin"/>
      </w:r>
      <w:r>
        <w:rPr>
          <w:color w:val="auto"/>
          <w:highlight w:val="none"/>
        </w:rPr>
        <w:instrText xml:space="preserve"> PAGEREF _Toc3572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_Toc16082 </w:instrText>
      </w:r>
      <w:r>
        <w:rPr>
          <w:color w:val="auto"/>
          <w:highlight w:val="none"/>
        </w:rPr>
        <w:fldChar w:fldCharType="separate"/>
      </w:r>
      <w:r>
        <w:rPr>
          <w:rFonts w:hint="eastAsia" w:cs="宋体"/>
          <w:bCs/>
          <w:color w:val="auto"/>
          <w:highlight w:val="none"/>
        </w:rPr>
        <w:t>附件一：《2023年度信用评价服务效果调查表(供应商)》</w:t>
      </w:r>
      <w:r>
        <w:rPr>
          <w:color w:val="auto"/>
          <w:highlight w:val="none"/>
        </w:rPr>
        <w:tab/>
      </w:r>
      <w:r>
        <w:rPr>
          <w:color w:val="auto"/>
          <w:highlight w:val="none"/>
        </w:rPr>
        <w:fldChar w:fldCharType="begin"/>
      </w:r>
      <w:r>
        <w:rPr>
          <w:color w:val="auto"/>
          <w:highlight w:val="none"/>
        </w:rPr>
        <w:instrText xml:space="preserve"> PAGEREF _Toc16082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pPr>
        <w:pStyle w:val="14"/>
        <w:tabs>
          <w:tab w:val="right" w:leader="dot" w:pos="9746"/>
          <w:tab w:val="clear" w:pos="0"/>
        </w:tabs>
        <w:rPr>
          <w:color w:val="auto"/>
          <w:highlight w:val="none"/>
        </w:rPr>
      </w:pPr>
      <w:r>
        <w:rPr>
          <w:color w:val="auto"/>
          <w:highlight w:val="none"/>
        </w:rPr>
        <w:fldChar w:fldCharType="begin"/>
      </w:r>
      <w:r>
        <w:rPr>
          <w:color w:val="auto"/>
          <w:highlight w:val="none"/>
        </w:rPr>
        <w:instrText xml:space="preserve"> HYPERLINK \l _Toc13938 </w:instrText>
      </w:r>
      <w:r>
        <w:rPr>
          <w:color w:val="auto"/>
          <w:highlight w:val="none"/>
        </w:rPr>
        <w:fldChar w:fldCharType="separate"/>
      </w:r>
      <w:r>
        <w:rPr>
          <w:rFonts w:hint="eastAsia" w:cs="宋体"/>
          <w:bCs/>
          <w:color w:val="auto"/>
          <w:highlight w:val="none"/>
        </w:rPr>
        <w:t>附件二： 统计上大中小微型企业划分标准</w:t>
      </w:r>
      <w:r>
        <w:rPr>
          <w:color w:val="auto"/>
          <w:highlight w:val="none"/>
        </w:rPr>
        <w:tab/>
      </w:r>
      <w:r>
        <w:rPr>
          <w:color w:val="auto"/>
          <w:highlight w:val="none"/>
        </w:rPr>
        <w:fldChar w:fldCharType="begin"/>
      </w:r>
      <w:r>
        <w:rPr>
          <w:color w:val="auto"/>
          <w:highlight w:val="none"/>
        </w:rPr>
        <w:instrText xml:space="preserve"> PAGEREF _Toc13938 \h </w:instrText>
      </w:r>
      <w:r>
        <w:rPr>
          <w:color w:val="auto"/>
          <w:highlight w:val="none"/>
        </w:rPr>
        <w:fldChar w:fldCharType="separate"/>
      </w:r>
      <w:r>
        <w:rPr>
          <w:color w:val="auto"/>
          <w:highlight w:val="none"/>
        </w:rPr>
        <w:t>103</w:t>
      </w:r>
      <w:r>
        <w:rPr>
          <w:color w:val="auto"/>
          <w:highlight w:val="none"/>
        </w:rPr>
        <w:fldChar w:fldCharType="end"/>
      </w:r>
      <w:r>
        <w:rPr>
          <w:color w:val="auto"/>
          <w:highlight w:val="none"/>
        </w:rPr>
        <w:fldChar w:fldCharType="end"/>
      </w:r>
    </w:p>
    <w:p>
      <w:pPr>
        <w:rPr>
          <w:color w:val="auto"/>
          <w:highlight w:val="none"/>
        </w:rPr>
      </w:pPr>
      <w:r>
        <w:rPr>
          <w:color w:val="auto"/>
          <w:highlight w:val="none"/>
        </w:rPr>
        <w:fldChar w:fldCharType="end"/>
      </w:r>
    </w:p>
    <w:p>
      <w:pPr>
        <w:pStyle w:val="50"/>
        <w:spacing w:before="120" w:after="120"/>
        <w:rPr>
          <w:color w:val="auto"/>
          <w:highlight w:val="none"/>
        </w:rPr>
      </w:pPr>
      <w:r>
        <w:rPr>
          <w:rFonts w:hint="eastAsia"/>
          <w:color w:val="auto"/>
          <w:highlight w:val="none"/>
        </w:rPr>
        <w:br w:type="page"/>
      </w:r>
      <w:bookmarkEnd w:id="2"/>
      <w:bookmarkEnd w:id="3"/>
      <w:bookmarkEnd w:id="4"/>
      <w:bookmarkStart w:id="6" w:name="_Toc29010"/>
      <w:bookmarkStart w:id="7" w:name="_Toc26358"/>
      <w:bookmarkStart w:id="8" w:name="_Toc9731"/>
      <w:bookmarkStart w:id="9" w:name="_Toc213396945"/>
      <w:bookmarkStart w:id="10" w:name="_Toc213496267"/>
      <w:bookmarkStart w:id="11" w:name="_Toc213396759"/>
      <w:bookmarkStart w:id="12" w:name="_Toc217446031"/>
      <w:bookmarkStart w:id="13" w:name="_Toc213397009"/>
      <w:r>
        <w:rPr>
          <w:rFonts w:hint="eastAsia"/>
          <w:color w:val="auto"/>
          <w:highlight w:val="none"/>
        </w:rPr>
        <w:t>投标邀请</w:t>
      </w:r>
      <w:bookmarkEnd w:id="5"/>
      <w:bookmarkEnd w:id="6"/>
      <w:bookmarkEnd w:id="7"/>
      <w:bookmarkEnd w:id="8"/>
    </w:p>
    <w:p>
      <w:pPr>
        <w:pStyle w:val="48"/>
        <w:spacing w:line="520" w:lineRule="exact"/>
        <w:rPr>
          <w:color w:val="auto"/>
          <w:highlight w:val="none"/>
        </w:rPr>
      </w:pPr>
      <w:r>
        <w:rPr>
          <w:rFonts w:hint="eastAsia"/>
          <w:color w:val="auto"/>
          <w:highlight w:val="none"/>
          <w:lang w:val="zh-CN"/>
        </w:rPr>
        <w:t>四川乾新招投标代理有限公司</w:t>
      </w:r>
      <w:r>
        <w:rPr>
          <w:rFonts w:hint="eastAsia"/>
          <w:color w:val="auto"/>
          <w:highlight w:val="none"/>
        </w:rPr>
        <w:t>受成都市技师学院的委托，拟对</w:t>
      </w:r>
      <w:r>
        <w:rPr>
          <w:rFonts w:hint="eastAsia"/>
          <w:color w:val="auto"/>
          <w:highlight w:val="none"/>
          <w:lang w:eastAsia="zh-CN"/>
        </w:rPr>
        <w:t>成都市技师学院(成都工贸职业技术学院)2023年学生工装采购项目</w:t>
      </w:r>
      <w:r>
        <w:rPr>
          <w:rFonts w:hint="eastAsia"/>
          <w:color w:val="auto"/>
          <w:highlight w:val="none"/>
        </w:rPr>
        <w:t>进行国内公开招标，兹邀请符合本次招标要求的供应商参加投标。</w:t>
      </w:r>
    </w:p>
    <w:p>
      <w:pPr>
        <w:pStyle w:val="44"/>
        <w:numPr>
          <w:ilvl w:val="0"/>
          <w:numId w:val="7"/>
        </w:numPr>
        <w:spacing w:line="520" w:lineRule="exact"/>
        <w:ind w:firstLine="482" w:firstLineChars="200"/>
        <w:rPr>
          <w:color w:val="auto"/>
          <w:highlight w:val="none"/>
        </w:rPr>
      </w:pPr>
      <w:r>
        <w:rPr>
          <w:rFonts w:hint="eastAsia"/>
          <w:b/>
          <w:bCs/>
          <w:color w:val="auto"/>
          <w:highlight w:val="none"/>
        </w:rPr>
        <w:t>项目编号：</w:t>
      </w:r>
      <w:bookmarkStart w:id="1333" w:name="_GoBack"/>
      <w:r>
        <w:rPr>
          <w:rFonts w:hint="eastAsia"/>
          <w:b w:val="0"/>
          <w:bCs w:val="0"/>
          <w:color w:val="auto"/>
          <w:highlight w:val="none"/>
        </w:rPr>
        <w:t>QXZB-2023-0950B</w:t>
      </w:r>
      <w:bookmarkEnd w:id="1333"/>
      <w:r>
        <w:rPr>
          <w:rFonts w:hint="eastAsia"/>
          <w:color w:val="auto"/>
          <w:highlight w:val="none"/>
        </w:rPr>
        <w:t xml:space="preserve"> </w:t>
      </w:r>
    </w:p>
    <w:p>
      <w:pPr>
        <w:pStyle w:val="44"/>
        <w:numPr>
          <w:ilvl w:val="0"/>
          <w:numId w:val="7"/>
        </w:numPr>
        <w:spacing w:line="520" w:lineRule="exact"/>
        <w:ind w:firstLine="482" w:firstLineChars="200"/>
        <w:rPr>
          <w:color w:val="auto"/>
          <w:highlight w:val="none"/>
        </w:rPr>
      </w:pPr>
      <w:r>
        <w:rPr>
          <w:rFonts w:hint="eastAsia"/>
          <w:b/>
          <w:bCs/>
          <w:color w:val="auto"/>
          <w:highlight w:val="none"/>
        </w:rPr>
        <w:t>项目名称：</w:t>
      </w:r>
      <w:r>
        <w:rPr>
          <w:rFonts w:hint="eastAsia"/>
          <w:color w:val="auto"/>
          <w:highlight w:val="none"/>
          <w:lang w:eastAsia="zh-CN"/>
        </w:rPr>
        <w:t>成都市技师学院(成都工贸职业技术学院)2023年学生工装采购项目</w:t>
      </w:r>
    </w:p>
    <w:p>
      <w:pPr>
        <w:pStyle w:val="44"/>
        <w:numPr>
          <w:ilvl w:val="0"/>
          <w:numId w:val="7"/>
        </w:numPr>
        <w:spacing w:line="520" w:lineRule="exact"/>
        <w:ind w:firstLine="482" w:firstLineChars="200"/>
        <w:rPr>
          <w:color w:val="auto"/>
          <w:highlight w:val="none"/>
        </w:rPr>
      </w:pPr>
      <w:r>
        <w:rPr>
          <w:rFonts w:hint="eastAsia"/>
          <w:b/>
          <w:bCs/>
          <w:color w:val="auto"/>
          <w:highlight w:val="none"/>
        </w:rPr>
        <w:t>资金来源：</w:t>
      </w:r>
      <w:r>
        <w:rPr>
          <w:rFonts w:hint="eastAsia"/>
          <w:b w:val="0"/>
          <w:bCs w:val="0"/>
          <w:color w:val="auto"/>
          <w:highlight w:val="none"/>
          <w:lang w:val="en-US" w:eastAsia="zh-CN"/>
        </w:rPr>
        <w:t>本项目为学生自行支付费用</w:t>
      </w:r>
      <w:r>
        <w:rPr>
          <w:rFonts w:hint="eastAsia"/>
          <w:b w:val="0"/>
          <w:bCs w:val="0"/>
          <w:color w:val="auto"/>
          <w:highlight w:val="none"/>
        </w:rPr>
        <w:t>。</w:t>
      </w:r>
    </w:p>
    <w:p>
      <w:pPr>
        <w:pStyle w:val="44"/>
        <w:numPr>
          <w:ilvl w:val="0"/>
          <w:numId w:val="7"/>
        </w:numPr>
        <w:spacing w:line="520" w:lineRule="exact"/>
        <w:ind w:firstLine="482" w:firstLineChars="200"/>
        <w:rPr>
          <w:b/>
          <w:bCs/>
          <w:color w:val="auto"/>
          <w:highlight w:val="none"/>
        </w:rPr>
      </w:pPr>
      <w:r>
        <w:rPr>
          <w:rFonts w:hint="eastAsia"/>
          <w:b/>
          <w:bCs/>
          <w:color w:val="auto"/>
          <w:highlight w:val="none"/>
        </w:rPr>
        <w:t>招标项目简介：</w:t>
      </w:r>
    </w:p>
    <w:p>
      <w:pPr>
        <w:pStyle w:val="44"/>
        <w:spacing w:line="520" w:lineRule="exact"/>
        <w:ind w:firstLine="482" w:firstLineChars="200"/>
        <w:rPr>
          <w:color w:val="auto"/>
          <w:highlight w:val="none"/>
        </w:rPr>
      </w:pPr>
      <w:r>
        <w:rPr>
          <w:rFonts w:hint="eastAsia"/>
          <w:b/>
          <w:bCs/>
          <w:color w:val="auto"/>
          <w:highlight w:val="none"/>
        </w:rPr>
        <w:t>(一)采购内容：</w:t>
      </w:r>
      <w:r>
        <w:rPr>
          <w:rFonts w:hint="eastAsia"/>
          <w:color w:val="auto"/>
          <w:highlight w:val="none"/>
          <w:lang w:eastAsia="zh-CN"/>
        </w:rPr>
        <w:t>学生工装采购</w:t>
      </w:r>
      <w:r>
        <w:rPr>
          <w:rFonts w:hint="eastAsia"/>
          <w:color w:val="auto"/>
          <w:highlight w:val="none"/>
        </w:rPr>
        <w:t>，具体详见招标文件第六章。</w:t>
      </w:r>
    </w:p>
    <w:p>
      <w:pPr>
        <w:pStyle w:val="44"/>
        <w:spacing w:line="520" w:lineRule="exact"/>
        <w:ind w:firstLine="482" w:firstLineChars="200"/>
        <w:rPr>
          <w:b/>
          <w:bCs/>
          <w:color w:val="auto"/>
          <w:highlight w:val="none"/>
        </w:rPr>
      </w:pPr>
      <w:r>
        <w:rPr>
          <w:rFonts w:hint="eastAsia"/>
          <w:b/>
          <w:bCs/>
          <w:color w:val="auto"/>
          <w:highlight w:val="none"/>
        </w:rPr>
        <w:t>(二)采购包划分：</w:t>
      </w:r>
      <w:r>
        <w:rPr>
          <w:rFonts w:hint="eastAsia"/>
          <w:color w:val="auto"/>
          <w:highlight w:val="none"/>
        </w:rPr>
        <w:t>本项目共计1个包，设置1名中标人。</w:t>
      </w:r>
    </w:p>
    <w:p>
      <w:pPr>
        <w:pStyle w:val="44"/>
        <w:spacing w:line="520" w:lineRule="exact"/>
        <w:ind w:firstLine="482" w:firstLineChars="200"/>
        <w:rPr>
          <w:rFonts w:hint="eastAsia" w:eastAsia="宋体"/>
          <w:color w:val="auto"/>
          <w:highlight w:val="none"/>
          <w:lang w:eastAsia="zh-CN"/>
        </w:rPr>
      </w:pPr>
      <w:r>
        <w:rPr>
          <w:rFonts w:hint="eastAsia"/>
          <w:b/>
          <w:bCs/>
          <w:color w:val="auto"/>
          <w:highlight w:val="none"/>
        </w:rPr>
        <w:t>(三)采购用途：</w:t>
      </w:r>
      <w:r>
        <w:rPr>
          <w:rFonts w:hint="eastAsia"/>
          <w:b w:val="0"/>
          <w:bCs w:val="0"/>
          <w:color w:val="auto"/>
          <w:highlight w:val="none"/>
          <w:lang w:val="en-US" w:eastAsia="zh-CN"/>
        </w:rPr>
        <w:t>用于保障成都市技师学院4个校区新生着装需求，提升整体形象</w:t>
      </w:r>
      <w:r>
        <w:rPr>
          <w:rFonts w:hint="eastAsia"/>
          <w:color w:val="auto"/>
          <w:highlight w:val="none"/>
          <w:lang w:eastAsia="zh-CN"/>
        </w:rPr>
        <w:t>。</w:t>
      </w:r>
    </w:p>
    <w:p>
      <w:pPr>
        <w:pStyle w:val="44"/>
        <w:spacing w:line="520" w:lineRule="exact"/>
        <w:ind w:firstLine="482" w:firstLineChars="200"/>
        <w:rPr>
          <w:color w:val="auto"/>
          <w:highlight w:val="none"/>
        </w:rPr>
      </w:pPr>
      <w:r>
        <w:rPr>
          <w:rFonts w:hint="eastAsia"/>
          <w:b/>
          <w:bCs/>
          <w:color w:val="auto"/>
          <w:highlight w:val="none"/>
        </w:rPr>
        <w:t>(四)项目性质：</w:t>
      </w:r>
      <w:r>
        <w:rPr>
          <w:rFonts w:hint="eastAsia"/>
          <w:b w:val="0"/>
          <w:bCs w:val="0"/>
          <w:color w:val="auto"/>
          <w:highlight w:val="none"/>
          <w:lang w:val="en-US" w:eastAsia="zh-CN"/>
        </w:rPr>
        <w:t>非法定</w:t>
      </w:r>
      <w:r>
        <w:rPr>
          <w:rFonts w:hint="eastAsia"/>
          <w:color w:val="auto"/>
          <w:highlight w:val="none"/>
        </w:rPr>
        <w:t>政府采购。</w:t>
      </w:r>
    </w:p>
    <w:p>
      <w:pPr>
        <w:pStyle w:val="44"/>
        <w:numPr>
          <w:ilvl w:val="0"/>
          <w:numId w:val="7"/>
        </w:numPr>
        <w:spacing w:line="520" w:lineRule="exact"/>
        <w:ind w:firstLine="482" w:firstLineChars="200"/>
        <w:rPr>
          <w:b/>
          <w:bCs/>
          <w:color w:val="auto"/>
          <w:highlight w:val="none"/>
        </w:rPr>
      </w:pPr>
      <w:r>
        <w:rPr>
          <w:rFonts w:hint="eastAsia"/>
          <w:b/>
          <w:bCs/>
          <w:color w:val="auto"/>
          <w:highlight w:val="none"/>
        </w:rPr>
        <w:t>供应商参加本次</w:t>
      </w:r>
      <w:r>
        <w:rPr>
          <w:rFonts w:hint="eastAsia"/>
          <w:b/>
          <w:bCs/>
          <w:color w:val="auto"/>
          <w:highlight w:val="none"/>
          <w:lang w:eastAsia="zh-CN"/>
        </w:rPr>
        <w:t>采购</w:t>
      </w:r>
      <w:r>
        <w:rPr>
          <w:rFonts w:hint="eastAsia"/>
          <w:b/>
          <w:bCs/>
          <w:color w:val="auto"/>
          <w:highlight w:val="none"/>
        </w:rPr>
        <w:t>活动应具备下列条件：</w:t>
      </w:r>
    </w:p>
    <w:p>
      <w:pPr>
        <w:pStyle w:val="44"/>
        <w:spacing w:line="520" w:lineRule="exact"/>
        <w:ind w:firstLine="480" w:firstLineChars="200"/>
        <w:rPr>
          <w:b w:val="0"/>
          <w:bCs w:val="0"/>
          <w:color w:val="auto"/>
          <w:highlight w:val="none"/>
        </w:rPr>
      </w:pPr>
      <w:r>
        <w:rPr>
          <w:rFonts w:hint="eastAsia"/>
          <w:b w:val="0"/>
          <w:bCs w:val="0"/>
          <w:color w:val="auto"/>
          <w:highlight w:val="none"/>
        </w:rPr>
        <w:t>(一)具有独立承担</w:t>
      </w:r>
      <w:r>
        <w:rPr>
          <w:b w:val="0"/>
          <w:bCs w:val="0"/>
          <w:color w:val="auto"/>
          <w:highlight w:val="none"/>
        </w:rPr>
        <w:fldChar w:fldCharType="begin"/>
      </w:r>
      <w:r>
        <w:rPr>
          <w:b w:val="0"/>
          <w:bCs w:val="0"/>
          <w:color w:val="auto"/>
          <w:highlight w:val="none"/>
        </w:rPr>
        <w:instrText xml:space="preserve"> HYPERLINK "http://www.lawtime.cn/info/minfa/mszeren/" \t "_blank" </w:instrText>
      </w:r>
      <w:r>
        <w:rPr>
          <w:b w:val="0"/>
          <w:bCs w:val="0"/>
          <w:color w:val="auto"/>
          <w:highlight w:val="none"/>
        </w:rPr>
        <w:fldChar w:fldCharType="separate"/>
      </w:r>
      <w:r>
        <w:rPr>
          <w:rFonts w:hint="eastAsia"/>
          <w:b w:val="0"/>
          <w:bCs w:val="0"/>
          <w:color w:val="auto"/>
          <w:highlight w:val="none"/>
        </w:rPr>
        <w:t>民事责任</w:t>
      </w:r>
      <w:r>
        <w:rPr>
          <w:rFonts w:hint="eastAsia"/>
          <w:b w:val="0"/>
          <w:bCs w:val="0"/>
          <w:color w:val="auto"/>
          <w:highlight w:val="none"/>
        </w:rPr>
        <w:fldChar w:fldCharType="end"/>
      </w:r>
      <w:r>
        <w:rPr>
          <w:rFonts w:hint="eastAsia"/>
          <w:b w:val="0"/>
          <w:bCs w:val="0"/>
          <w:color w:val="auto"/>
          <w:highlight w:val="none"/>
        </w:rPr>
        <w:t>的能力；</w:t>
      </w:r>
    </w:p>
    <w:p>
      <w:pPr>
        <w:pStyle w:val="44"/>
        <w:spacing w:line="520" w:lineRule="exact"/>
        <w:ind w:firstLine="480" w:firstLineChars="200"/>
        <w:rPr>
          <w:b w:val="0"/>
          <w:bCs w:val="0"/>
          <w:color w:val="auto"/>
          <w:highlight w:val="none"/>
        </w:rPr>
      </w:pPr>
      <w:r>
        <w:rPr>
          <w:rFonts w:hint="eastAsia"/>
          <w:b w:val="0"/>
          <w:bCs w:val="0"/>
          <w:color w:val="auto"/>
          <w:highlight w:val="none"/>
        </w:rPr>
        <w:t>(</w:t>
      </w:r>
      <w:r>
        <w:rPr>
          <w:rFonts w:hint="eastAsia"/>
          <w:b w:val="0"/>
          <w:bCs w:val="0"/>
          <w:color w:val="auto"/>
          <w:highlight w:val="none"/>
          <w:lang w:val="en-US" w:eastAsia="zh-CN"/>
        </w:rPr>
        <w:t>二</w:t>
      </w:r>
      <w:r>
        <w:rPr>
          <w:rFonts w:hint="eastAsia"/>
          <w:b w:val="0"/>
          <w:bCs w:val="0"/>
          <w:color w:val="auto"/>
          <w:highlight w:val="none"/>
        </w:rPr>
        <w:t>)具有良好的商业信誉和健全的财务会计制度；</w:t>
      </w:r>
    </w:p>
    <w:p>
      <w:pPr>
        <w:pStyle w:val="44"/>
        <w:spacing w:line="520" w:lineRule="exact"/>
        <w:ind w:firstLine="480" w:firstLineChars="200"/>
        <w:rPr>
          <w:b w:val="0"/>
          <w:bCs w:val="0"/>
          <w:color w:val="auto"/>
          <w:highlight w:val="none"/>
        </w:rPr>
      </w:pPr>
      <w:r>
        <w:rPr>
          <w:rFonts w:hint="eastAsia"/>
          <w:b w:val="0"/>
          <w:bCs w:val="0"/>
          <w:color w:val="auto"/>
          <w:highlight w:val="none"/>
        </w:rPr>
        <w:t>(</w:t>
      </w:r>
      <w:r>
        <w:rPr>
          <w:rFonts w:hint="eastAsia"/>
          <w:b w:val="0"/>
          <w:bCs w:val="0"/>
          <w:color w:val="auto"/>
          <w:highlight w:val="none"/>
          <w:lang w:val="en-US" w:eastAsia="zh-CN"/>
        </w:rPr>
        <w:t>三</w:t>
      </w:r>
      <w:r>
        <w:rPr>
          <w:rFonts w:hint="eastAsia"/>
          <w:b w:val="0"/>
          <w:bCs w:val="0"/>
          <w:color w:val="auto"/>
          <w:highlight w:val="none"/>
        </w:rPr>
        <w:t>)具有履行合同所必需的设备和专业技术能力；</w:t>
      </w:r>
    </w:p>
    <w:p>
      <w:pPr>
        <w:pStyle w:val="44"/>
        <w:spacing w:line="520" w:lineRule="exact"/>
        <w:ind w:firstLine="480" w:firstLineChars="200"/>
        <w:rPr>
          <w:b w:val="0"/>
          <w:bCs w:val="0"/>
          <w:color w:val="auto"/>
          <w:highlight w:val="none"/>
        </w:rPr>
      </w:pPr>
      <w:r>
        <w:rPr>
          <w:rFonts w:hint="eastAsia"/>
          <w:b w:val="0"/>
          <w:bCs w:val="0"/>
          <w:color w:val="auto"/>
          <w:highlight w:val="none"/>
        </w:rPr>
        <w:t>(</w:t>
      </w:r>
      <w:r>
        <w:rPr>
          <w:rFonts w:hint="eastAsia"/>
          <w:b w:val="0"/>
          <w:bCs w:val="0"/>
          <w:color w:val="auto"/>
          <w:highlight w:val="none"/>
          <w:lang w:val="en-US" w:eastAsia="zh-CN"/>
        </w:rPr>
        <w:t>四</w:t>
      </w:r>
      <w:r>
        <w:rPr>
          <w:rFonts w:hint="eastAsia"/>
          <w:b w:val="0"/>
          <w:bCs w:val="0"/>
          <w:color w:val="auto"/>
          <w:highlight w:val="none"/>
        </w:rPr>
        <w:t>)有依法缴纳税收和</w:t>
      </w:r>
      <w:r>
        <w:rPr>
          <w:b w:val="0"/>
          <w:bCs w:val="0"/>
          <w:color w:val="auto"/>
          <w:highlight w:val="none"/>
        </w:rPr>
        <w:fldChar w:fldCharType="begin"/>
      </w:r>
      <w:r>
        <w:rPr>
          <w:b w:val="0"/>
          <w:bCs w:val="0"/>
          <w:color w:val="auto"/>
          <w:highlight w:val="none"/>
        </w:rPr>
        <w:instrText xml:space="preserve"> HYPERLINK "http://www.lawtime.cn/info/laodong/shehuibaozhang/" \t "_blank" </w:instrText>
      </w:r>
      <w:r>
        <w:rPr>
          <w:b w:val="0"/>
          <w:bCs w:val="0"/>
          <w:color w:val="auto"/>
          <w:highlight w:val="none"/>
        </w:rPr>
        <w:fldChar w:fldCharType="separate"/>
      </w:r>
      <w:r>
        <w:rPr>
          <w:rFonts w:hint="eastAsia"/>
          <w:b w:val="0"/>
          <w:bCs w:val="0"/>
          <w:color w:val="auto"/>
          <w:highlight w:val="none"/>
        </w:rPr>
        <w:t>社会保障</w:t>
      </w:r>
      <w:r>
        <w:rPr>
          <w:rFonts w:hint="eastAsia"/>
          <w:b w:val="0"/>
          <w:bCs w:val="0"/>
          <w:color w:val="auto"/>
          <w:highlight w:val="none"/>
        </w:rPr>
        <w:fldChar w:fldCharType="end"/>
      </w:r>
      <w:r>
        <w:rPr>
          <w:rFonts w:hint="eastAsia"/>
          <w:b w:val="0"/>
          <w:bCs w:val="0"/>
          <w:color w:val="auto"/>
          <w:highlight w:val="none"/>
        </w:rPr>
        <w:t>资金的良好记录；</w:t>
      </w:r>
    </w:p>
    <w:p>
      <w:pPr>
        <w:pStyle w:val="44"/>
        <w:spacing w:line="520" w:lineRule="exact"/>
        <w:ind w:firstLine="480" w:firstLineChars="200"/>
        <w:rPr>
          <w:b w:val="0"/>
          <w:bCs w:val="0"/>
          <w:color w:val="auto"/>
          <w:highlight w:val="none"/>
        </w:rPr>
      </w:pPr>
      <w:r>
        <w:rPr>
          <w:rFonts w:hint="eastAsia"/>
          <w:b w:val="0"/>
          <w:bCs w:val="0"/>
          <w:color w:val="auto"/>
          <w:highlight w:val="none"/>
        </w:rPr>
        <w:t>(</w:t>
      </w:r>
      <w:r>
        <w:rPr>
          <w:rFonts w:hint="eastAsia"/>
          <w:b w:val="0"/>
          <w:bCs w:val="0"/>
          <w:color w:val="auto"/>
          <w:highlight w:val="none"/>
          <w:lang w:val="en-US" w:eastAsia="zh-CN"/>
        </w:rPr>
        <w:t>五</w:t>
      </w:r>
      <w:r>
        <w:rPr>
          <w:rFonts w:hint="eastAsia"/>
          <w:b w:val="0"/>
          <w:bCs w:val="0"/>
          <w:color w:val="auto"/>
          <w:highlight w:val="none"/>
        </w:rPr>
        <w:t>)参加</w:t>
      </w:r>
      <w:r>
        <w:rPr>
          <w:rFonts w:hint="eastAsia"/>
          <w:b w:val="0"/>
          <w:bCs w:val="0"/>
          <w:color w:val="auto"/>
          <w:highlight w:val="none"/>
          <w:lang w:eastAsia="zh-CN"/>
        </w:rPr>
        <w:t>采购</w:t>
      </w:r>
      <w:r>
        <w:rPr>
          <w:rFonts w:hint="eastAsia"/>
          <w:b w:val="0"/>
          <w:bCs w:val="0"/>
          <w:color w:val="auto"/>
          <w:highlight w:val="none"/>
        </w:rPr>
        <w:t>活动前三年内，在经营活动中没有重大违法记录；</w:t>
      </w:r>
    </w:p>
    <w:p>
      <w:pPr>
        <w:pStyle w:val="44"/>
        <w:spacing w:line="520" w:lineRule="exact"/>
        <w:ind w:firstLine="480" w:firstLineChars="200"/>
        <w:rPr>
          <w:b w:val="0"/>
          <w:bCs w:val="0"/>
          <w:color w:val="auto"/>
          <w:highlight w:val="none"/>
        </w:rPr>
      </w:pPr>
      <w:r>
        <w:rPr>
          <w:rFonts w:hint="eastAsia"/>
          <w:b w:val="0"/>
          <w:bCs w:val="0"/>
          <w:color w:val="auto"/>
          <w:highlight w:val="none"/>
        </w:rPr>
        <w:t>(</w:t>
      </w:r>
      <w:r>
        <w:rPr>
          <w:rFonts w:hint="eastAsia"/>
          <w:b w:val="0"/>
          <w:bCs w:val="0"/>
          <w:color w:val="auto"/>
          <w:highlight w:val="none"/>
          <w:lang w:val="en-US" w:eastAsia="zh-CN"/>
        </w:rPr>
        <w:t>六</w:t>
      </w:r>
      <w:r>
        <w:rPr>
          <w:rFonts w:hint="eastAsia"/>
          <w:b w:val="0"/>
          <w:bCs w:val="0"/>
          <w:color w:val="auto"/>
          <w:highlight w:val="none"/>
        </w:rPr>
        <w:t>)法律、</w:t>
      </w:r>
      <w:r>
        <w:rPr>
          <w:b w:val="0"/>
          <w:bCs w:val="0"/>
          <w:color w:val="auto"/>
          <w:highlight w:val="none"/>
        </w:rPr>
        <w:fldChar w:fldCharType="begin"/>
      </w:r>
      <w:r>
        <w:rPr>
          <w:b w:val="0"/>
          <w:bCs w:val="0"/>
          <w:color w:val="auto"/>
          <w:highlight w:val="none"/>
        </w:rPr>
        <w:instrText xml:space="preserve"> HYPERLINK "http://www.lawtime.cn/info/sifakaoshi/xingzhengfa/" \t "_blank" </w:instrText>
      </w:r>
      <w:r>
        <w:rPr>
          <w:b w:val="0"/>
          <w:bCs w:val="0"/>
          <w:color w:val="auto"/>
          <w:highlight w:val="none"/>
        </w:rPr>
        <w:fldChar w:fldCharType="separate"/>
      </w:r>
      <w:r>
        <w:rPr>
          <w:rFonts w:hint="eastAsia"/>
          <w:b w:val="0"/>
          <w:bCs w:val="0"/>
          <w:color w:val="auto"/>
          <w:highlight w:val="none"/>
        </w:rPr>
        <w:t>行政法</w:t>
      </w:r>
      <w:r>
        <w:rPr>
          <w:rFonts w:hint="eastAsia"/>
          <w:b w:val="0"/>
          <w:bCs w:val="0"/>
          <w:color w:val="auto"/>
          <w:highlight w:val="none"/>
        </w:rPr>
        <w:fldChar w:fldCharType="end"/>
      </w:r>
      <w:r>
        <w:rPr>
          <w:rFonts w:hint="eastAsia"/>
          <w:b w:val="0"/>
          <w:bCs w:val="0"/>
          <w:color w:val="auto"/>
          <w:highlight w:val="none"/>
        </w:rPr>
        <w:t>规规定的其他条件。</w:t>
      </w:r>
    </w:p>
    <w:p>
      <w:pPr>
        <w:pStyle w:val="44"/>
        <w:spacing w:line="520" w:lineRule="exact"/>
        <w:ind w:firstLine="480" w:firstLineChars="200"/>
        <w:rPr>
          <w:b w:val="0"/>
          <w:bCs w:val="0"/>
          <w:color w:val="auto"/>
          <w:highlight w:val="none"/>
          <w:lang w:val="zh-CN"/>
        </w:rPr>
      </w:pPr>
      <w:r>
        <w:rPr>
          <w:rFonts w:hint="eastAsia"/>
          <w:b w:val="0"/>
          <w:bCs w:val="0"/>
          <w:color w:val="auto"/>
          <w:highlight w:val="none"/>
        </w:rPr>
        <w:t>(</w:t>
      </w:r>
      <w:r>
        <w:rPr>
          <w:rFonts w:hint="eastAsia"/>
          <w:b w:val="0"/>
          <w:bCs w:val="0"/>
          <w:color w:val="auto"/>
          <w:highlight w:val="none"/>
          <w:lang w:val="en-US" w:eastAsia="zh-CN"/>
        </w:rPr>
        <w:t>七</w:t>
      </w:r>
      <w:r>
        <w:rPr>
          <w:rFonts w:hint="eastAsia"/>
          <w:b w:val="0"/>
          <w:bCs w:val="0"/>
          <w:color w:val="auto"/>
          <w:highlight w:val="none"/>
        </w:rPr>
        <w:t>)</w:t>
      </w:r>
      <w:r>
        <w:rPr>
          <w:rFonts w:hint="eastAsia"/>
          <w:b w:val="0"/>
          <w:bCs w:val="0"/>
          <w:color w:val="auto"/>
          <w:highlight w:val="none"/>
          <w:lang w:val="zh-CN"/>
        </w:rPr>
        <w:t>本项目的特定资格要求：</w:t>
      </w:r>
      <w:r>
        <w:rPr>
          <w:rFonts w:hint="eastAsia"/>
          <w:b w:val="0"/>
          <w:bCs w:val="0"/>
          <w:color w:val="auto"/>
          <w:highlight w:val="none"/>
        </w:rPr>
        <w:t>本项目不接受联合体投标。</w:t>
      </w:r>
    </w:p>
    <w:p>
      <w:pPr>
        <w:pStyle w:val="44"/>
        <w:numPr>
          <w:ilvl w:val="0"/>
          <w:numId w:val="7"/>
        </w:numPr>
        <w:spacing w:line="520" w:lineRule="exact"/>
        <w:ind w:firstLine="482" w:firstLineChars="200"/>
        <w:rPr>
          <w:b/>
          <w:bCs/>
          <w:color w:val="auto"/>
          <w:highlight w:val="none"/>
        </w:rPr>
      </w:pPr>
      <w:r>
        <w:rPr>
          <w:rFonts w:hint="eastAsia"/>
          <w:b/>
          <w:bCs/>
          <w:color w:val="auto"/>
          <w:highlight w:val="none"/>
        </w:rPr>
        <w:t>禁止参加本次采购活动的供应商</w:t>
      </w:r>
    </w:p>
    <w:p>
      <w:pPr>
        <w:pStyle w:val="35"/>
        <w:spacing w:line="520" w:lineRule="exact"/>
        <w:ind w:firstLine="480" w:firstLineChars="200"/>
        <w:rPr>
          <w:color w:val="auto"/>
          <w:highlight w:val="none"/>
        </w:rPr>
      </w:pPr>
      <w:bookmarkStart w:id="14" w:name="PO_默认文件内容_4"/>
      <w:r>
        <w:rPr>
          <w:rFonts w:hint="eastAsia"/>
          <w:color w:val="auto"/>
          <w:highlight w:val="none"/>
          <w:lang w:val="en-US" w:eastAsia="zh-CN"/>
        </w:rPr>
        <w:t>参照</w:t>
      </w:r>
      <w:r>
        <w:rPr>
          <w:rFonts w:hint="eastAsia"/>
          <w:color w:val="auto"/>
          <w:highlight w:val="none"/>
        </w:rPr>
        <w:t>《关于在政府采购活动中查询及使用信用记录有关问题的通知》(财库〔2016〕125号)的要求，采购代理机构将通过“信用中国”网站(www.creditchina.gov.cn)、“中国政府采购网”网站(www.ccgp.gov.cn)等渠道查询供应商在投标文件递交截止日前的信用记录并保存信用记录结果网页截图，拒绝列入失信被执行人名单、重大税收违法案件当事人名单、政府采购严重违法失信行为记录名单中的供应商参加本项目的采购活动。</w:t>
      </w:r>
    </w:p>
    <w:bookmarkEnd w:id="14"/>
    <w:p>
      <w:pPr>
        <w:pStyle w:val="44"/>
        <w:numPr>
          <w:ilvl w:val="0"/>
          <w:numId w:val="7"/>
        </w:numPr>
        <w:spacing w:line="520" w:lineRule="exact"/>
        <w:ind w:firstLine="482" w:firstLineChars="200"/>
        <w:rPr>
          <w:b/>
          <w:bCs/>
          <w:color w:val="auto"/>
          <w:highlight w:val="none"/>
        </w:rPr>
      </w:pPr>
      <w:r>
        <w:rPr>
          <w:rFonts w:hint="eastAsia"/>
          <w:b/>
          <w:bCs/>
          <w:color w:val="auto"/>
          <w:highlight w:val="none"/>
        </w:rPr>
        <w:t>获取招标文件的时间期限、地点、方式</w:t>
      </w:r>
    </w:p>
    <w:p>
      <w:pPr>
        <w:pStyle w:val="44"/>
        <w:spacing w:line="520" w:lineRule="exact"/>
        <w:ind w:firstLine="482" w:firstLineChars="200"/>
        <w:rPr>
          <w:rFonts w:hint="eastAsia" w:ascii="宋体" w:hAnsi="宋体" w:eastAsia="宋体" w:cs="宋体"/>
          <w:color w:val="auto"/>
          <w:highlight w:val="none"/>
          <w:lang w:val="zh-CN"/>
        </w:rPr>
      </w:pPr>
      <w:r>
        <w:rPr>
          <w:rFonts w:hint="eastAsia" w:ascii="宋体" w:hAnsi="宋体" w:eastAsia="宋体" w:cs="宋体"/>
          <w:b/>
          <w:bCs/>
          <w:color w:val="auto"/>
          <w:highlight w:val="none"/>
        </w:rPr>
        <w:t>(一)获取招标文件的时间期限(即报名时间)</w:t>
      </w:r>
      <w:r>
        <w:rPr>
          <w:rFonts w:hint="eastAsia" w:ascii="宋体" w:hAnsi="宋体" w:eastAsia="宋体" w:cs="宋体"/>
          <w:color w:val="auto"/>
          <w:highlight w:val="none"/>
        </w:rPr>
        <w:t>：</w:t>
      </w:r>
      <w:r>
        <w:rPr>
          <w:rFonts w:hint="eastAsia" w:ascii="宋体" w:hAnsi="宋体" w:eastAsia="宋体" w:cs="宋体"/>
          <w:color w:val="auto"/>
          <w:highlight w:val="none"/>
          <w:u w:val="single"/>
        </w:rPr>
        <w:t>2023年</w:t>
      </w:r>
      <w:r>
        <w:rPr>
          <w:rFonts w:hint="eastAsia" w:cs="宋体"/>
          <w:color w:val="auto"/>
          <w:highlight w:val="none"/>
          <w:u w:val="single"/>
          <w:lang w:val="en-US" w:eastAsia="zh-CN"/>
        </w:rPr>
        <w:t>10</w:t>
      </w:r>
      <w:r>
        <w:rPr>
          <w:rFonts w:hint="eastAsia" w:ascii="宋体" w:hAnsi="宋体" w:eastAsia="宋体" w:cs="宋体"/>
          <w:color w:val="auto"/>
          <w:highlight w:val="none"/>
          <w:u w:val="single"/>
        </w:rPr>
        <w:t>月</w:t>
      </w:r>
      <w:r>
        <w:rPr>
          <w:rFonts w:hint="eastAsia" w:cs="宋体"/>
          <w:color w:val="auto"/>
          <w:highlight w:val="none"/>
          <w:u w:val="single"/>
          <w:lang w:val="en-US" w:eastAsia="zh-CN"/>
        </w:rPr>
        <w:t>18</w:t>
      </w:r>
      <w:r>
        <w:rPr>
          <w:rFonts w:hint="eastAsia" w:ascii="宋体" w:hAnsi="宋体" w:eastAsia="宋体" w:cs="宋体"/>
          <w:color w:val="auto"/>
          <w:highlight w:val="none"/>
          <w:u w:val="single"/>
        </w:rPr>
        <w:t>日至2023年</w:t>
      </w:r>
      <w:r>
        <w:rPr>
          <w:rFonts w:hint="eastAsia" w:cs="宋体"/>
          <w:color w:val="auto"/>
          <w:highlight w:val="none"/>
          <w:u w:val="single"/>
          <w:lang w:val="en-US" w:eastAsia="zh-CN"/>
        </w:rPr>
        <w:t>10</w:t>
      </w:r>
      <w:r>
        <w:rPr>
          <w:rFonts w:hint="eastAsia" w:ascii="宋体" w:hAnsi="宋体" w:eastAsia="宋体" w:cs="宋体"/>
          <w:color w:val="auto"/>
          <w:highlight w:val="none"/>
          <w:u w:val="single"/>
        </w:rPr>
        <w:t>月</w:t>
      </w:r>
      <w:r>
        <w:rPr>
          <w:rFonts w:hint="eastAsia" w:cs="宋体"/>
          <w:color w:val="auto"/>
          <w:highlight w:val="none"/>
          <w:u w:val="single"/>
          <w:lang w:val="en-US" w:eastAsia="zh-CN"/>
        </w:rPr>
        <w:t>24</w:t>
      </w:r>
      <w:r>
        <w:rPr>
          <w:rFonts w:hint="eastAsia" w:ascii="宋体" w:hAnsi="宋体" w:eastAsia="宋体" w:cs="宋体"/>
          <w:color w:val="auto"/>
          <w:highlight w:val="none"/>
          <w:u w:val="single"/>
        </w:rPr>
        <w:t>日，每天上午9时00分至12时00分，下午14时00分至17时00分(北京时间，法定节假日除外)。</w:t>
      </w:r>
    </w:p>
    <w:p>
      <w:pPr>
        <w:pStyle w:val="44"/>
        <w:spacing w:line="520" w:lineRule="exact"/>
        <w:ind w:firstLine="482" w:firstLineChars="200"/>
        <w:rPr>
          <w:rFonts w:hint="eastAsia" w:ascii="宋体" w:hAnsi="宋体" w:eastAsia="宋体" w:cs="宋体"/>
          <w:color w:val="auto"/>
          <w:highlight w:val="none"/>
          <w:lang w:val="zh-CN"/>
        </w:rPr>
      </w:pPr>
      <w:r>
        <w:rPr>
          <w:rFonts w:hint="eastAsia" w:ascii="宋体" w:hAnsi="宋体" w:eastAsia="宋体" w:cs="宋体"/>
          <w:b/>
          <w:bCs/>
          <w:color w:val="auto"/>
          <w:highlight w:val="none"/>
        </w:rPr>
        <w:t>(二)获取招标文件的地点：http：//www.qxztb.cn</w:t>
      </w:r>
      <w:r>
        <w:rPr>
          <w:rFonts w:hint="eastAsia" w:ascii="宋体" w:hAnsi="宋体" w:eastAsia="宋体" w:cs="宋体"/>
          <w:color w:val="auto"/>
          <w:highlight w:val="none"/>
          <w:lang w:val="zh-CN"/>
        </w:rPr>
        <w:t>。</w:t>
      </w:r>
    </w:p>
    <w:p>
      <w:pPr>
        <w:pStyle w:val="44"/>
        <w:spacing w:line="520" w:lineRule="exact"/>
        <w:ind w:firstLine="48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rPr>
        <w:t>(三)获取招标文件的方式：</w:t>
      </w:r>
    </w:p>
    <w:p>
      <w:pPr>
        <w:pStyle w:val="44"/>
        <w:spacing w:line="520" w:lineRule="exact"/>
        <w:ind w:firstLine="482" w:firstLineChars="200"/>
        <w:rPr>
          <w:rFonts w:hint="eastAsia" w:ascii="宋体" w:hAnsi="宋体" w:eastAsia="宋体" w:cs="宋体"/>
          <w:color w:val="auto"/>
          <w:highlight w:val="none"/>
        </w:rPr>
      </w:pPr>
      <w:r>
        <w:rPr>
          <w:rFonts w:hint="eastAsia" w:ascii="宋体" w:hAnsi="宋体" w:eastAsia="宋体" w:cs="宋体"/>
          <w:b/>
          <w:bCs/>
          <w:color w:val="auto"/>
          <w:highlight w:val="none"/>
        </w:rPr>
        <w:t>1.</w:t>
      </w:r>
      <w:r>
        <w:rPr>
          <w:rFonts w:hint="eastAsia" w:ascii="宋体" w:hAnsi="宋体" w:eastAsia="宋体" w:cs="宋体"/>
          <w:b/>
          <w:bCs/>
          <w:color w:val="auto"/>
          <w:highlight w:val="none"/>
        </w:rPr>
        <w:tab/>
      </w:r>
      <w:r>
        <w:rPr>
          <w:rFonts w:hint="eastAsia" w:ascii="宋体" w:hAnsi="宋体" w:eastAsia="宋体" w:cs="宋体"/>
          <w:b/>
          <w:bCs/>
          <w:color w:val="auto"/>
          <w:highlight w:val="none"/>
        </w:rPr>
        <w:t>在本项目招标文件获取时间期限内，在采购代理机构指定网站(http：//www.qxztb.cn)获取，具体获取流程详见该网站的“标书在线获取流程”。</w:t>
      </w:r>
    </w:p>
    <w:p>
      <w:pPr>
        <w:pStyle w:val="44"/>
        <w:spacing w:line="520" w:lineRule="exact"/>
        <w:ind w:firstLine="482" w:firstLineChars="200"/>
        <w:rPr>
          <w:rFonts w:hint="eastAsia" w:ascii="宋体" w:hAnsi="宋体" w:eastAsia="宋体" w:cs="宋体"/>
          <w:b/>
          <w:bCs/>
          <w:color w:val="auto"/>
          <w:highlight w:val="none"/>
          <w:lang w:val="zh-CN"/>
        </w:rPr>
      </w:pPr>
      <w:r>
        <w:rPr>
          <w:rFonts w:hint="eastAsia" w:ascii="宋体" w:hAnsi="宋体" w:eastAsia="宋体" w:cs="宋体"/>
          <w:b/>
          <w:bCs/>
          <w:color w:val="auto"/>
          <w:highlight w:val="none"/>
        </w:rPr>
        <w:t>2.报名咨询电话：</w:t>
      </w:r>
      <w:r>
        <w:rPr>
          <w:rFonts w:hint="eastAsia" w:ascii="宋体" w:hAnsi="宋体" w:eastAsia="宋体" w:cs="宋体"/>
          <w:b/>
          <w:bCs/>
          <w:color w:val="auto"/>
          <w:highlight w:val="none"/>
          <w:lang w:val="zh-CN"/>
        </w:rPr>
        <w:t>028-61375575、62600820、62630990转601或602。</w:t>
      </w:r>
    </w:p>
    <w:p>
      <w:pPr>
        <w:pStyle w:val="44"/>
        <w:spacing w:line="520" w:lineRule="exact"/>
        <w:ind w:firstLine="482" w:firstLineChars="200"/>
        <w:rPr>
          <w:rFonts w:hint="eastAsia" w:ascii="宋体" w:hAnsi="宋体" w:eastAsia="宋体" w:cs="宋体"/>
          <w:color w:val="auto"/>
          <w:highlight w:val="none"/>
        </w:rPr>
      </w:pPr>
      <w:r>
        <w:rPr>
          <w:rFonts w:hint="eastAsia" w:ascii="宋体" w:hAnsi="宋体" w:eastAsia="宋体" w:cs="宋体"/>
          <w:b/>
          <w:bCs/>
          <w:color w:val="auto"/>
          <w:highlight w:val="none"/>
        </w:rPr>
        <w:t>(四)</w:t>
      </w:r>
      <w:r>
        <w:rPr>
          <w:rFonts w:hint="eastAsia" w:ascii="宋体" w:hAnsi="宋体" w:eastAsia="宋体" w:cs="宋体"/>
          <w:b/>
          <w:bCs/>
          <w:color w:val="auto"/>
          <w:highlight w:val="none"/>
          <w:lang w:val="zh-CN"/>
        </w:rPr>
        <w:t>招标文件售价：</w:t>
      </w:r>
      <w:r>
        <w:rPr>
          <w:rFonts w:hint="eastAsia" w:ascii="宋体" w:hAnsi="宋体" w:eastAsia="宋体" w:cs="宋体"/>
          <w:color w:val="auto"/>
          <w:highlight w:val="none"/>
          <w:lang w:val="zh-CN"/>
        </w:rPr>
        <w:t>人民币</w:t>
      </w:r>
      <w:r>
        <w:rPr>
          <w:rFonts w:hint="eastAsia" w:ascii="宋体" w:hAnsi="宋体" w:eastAsia="宋体" w:cs="宋体"/>
          <w:color w:val="auto"/>
          <w:highlight w:val="none"/>
        </w:rPr>
        <w:t>300元</w:t>
      </w:r>
      <w:r>
        <w:rPr>
          <w:rFonts w:hint="eastAsia" w:ascii="宋体" w:hAnsi="宋体" w:eastAsia="宋体" w:cs="宋体"/>
          <w:color w:val="auto"/>
          <w:highlight w:val="none"/>
          <w:lang w:val="zh-CN"/>
        </w:rPr>
        <w:t>/份(招标文件</w:t>
      </w:r>
      <w:r>
        <w:rPr>
          <w:rFonts w:hint="eastAsia" w:ascii="宋体" w:hAnsi="宋体" w:eastAsia="宋体" w:cs="宋体"/>
          <w:color w:val="auto"/>
          <w:highlight w:val="none"/>
        </w:rPr>
        <w:t>售后不退</w:t>
      </w:r>
      <w:r>
        <w:rPr>
          <w:rFonts w:hint="eastAsia" w:ascii="宋体" w:hAnsi="宋体" w:eastAsia="宋体" w:cs="宋体"/>
          <w:color w:val="auto"/>
          <w:highlight w:val="none"/>
          <w:lang w:val="zh-CN"/>
        </w:rPr>
        <w:t xml:space="preserve">, </w:t>
      </w:r>
      <w:r>
        <w:rPr>
          <w:rFonts w:hint="eastAsia" w:ascii="宋体" w:hAnsi="宋体" w:eastAsia="宋体" w:cs="宋体"/>
          <w:color w:val="auto"/>
          <w:highlight w:val="none"/>
        </w:rPr>
        <w:t>投标资格不得转让)。</w:t>
      </w:r>
    </w:p>
    <w:p>
      <w:pPr>
        <w:pStyle w:val="44"/>
        <w:spacing w:line="520" w:lineRule="exact"/>
        <w:ind w:firstLine="482" w:firstLineChars="200"/>
        <w:rPr>
          <w:rFonts w:cs="宋体"/>
          <w:color w:val="auto"/>
          <w:highlight w:val="none"/>
        </w:rPr>
      </w:pPr>
      <w:r>
        <w:rPr>
          <w:rFonts w:hint="eastAsia" w:ascii="宋体" w:hAnsi="宋体" w:eastAsia="宋体" w:cs="宋体"/>
          <w:b/>
          <w:bCs/>
          <w:color w:val="auto"/>
          <w:highlight w:val="none"/>
        </w:rPr>
        <w:t>(五)</w:t>
      </w:r>
      <w:r>
        <w:rPr>
          <w:rFonts w:hint="eastAsia" w:ascii="宋体" w:hAnsi="宋体" w:eastAsia="宋体" w:cs="宋体"/>
          <w:color w:val="auto"/>
          <w:highlight w:val="none"/>
        </w:rPr>
        <w:t>供应商应在规定的时间内按上述要求获取本招标文件并登记，否则均无资格参加该项目的投标。</w:t>
      </w:r>
    </w:p>
    <w:p>
      <w:pPr>
        <w:pStyle w:val="44"/>
        <w:numPr>
          <w:ilvl w:val="0"/>
          <w:numId w:val="7"/>
        </w:numPr>
        <w:spacing w:line="520" w:lineRule="exact"/>
        <w:ind w:firstLine="482" w:firstLineChars="200"/>
        <w:rPr>
          <w:b/>
          <w:bCs/>
          <w:color w:val="auto"/>
          <w:highlight w:val="none"/>
        </w:rPr>
      </w:pPr>
      <w:r>
        <w:rPr>
          <w:rFonts w:hint="eastAsia"/>
          <w:b/>
          <w:bCs/>
          <w:color w:val="auto"/>
          <w:highlight w:val="none"/>
        </w:rPr>
        <w:t>投标文件的递交</w:t>
      </w:r>
    </w:p>
    <w:p>
      <w:pPr>
        <w:pStyle w:val="44"/>
        <w:spacing w:line="520" w:lineRule="exact"/>
        <w:ind w:firstLine="480" w:firstLineChars="200"/>
        <w:rPr>
          <w:color w:val="auto"/>
          <w:highlight w:val="none"/>
        </w:rPr>
      </w:pPr>
      <w:r>
        <w:rPr>
          <w:rFonts w:hint="eastAsia"/>
          <w:color w:val="auto"/>
          <w:highlight w:val="none"/>
        </w:rPr>
        <w:t>(一)投标文件递交起止时间：2023年</w:t>
      </w:r>
      <w:r>
        <w:rPr>
          <w:rFonts w:hint="eastAsia"/>
          <w:color w:val="auto"/>
          <w:highlight w:val="none"/>
          <w:lang w:val="en-US" w:eastAsia="zh-CN"/>
        </w:rPr>
        <w:t>11</w:t>
      </w:r>
      <w:r>
        <w:rPr>
          <w:rFonts w:hint="eastAsia"/>
          <w:color w:val="auto"/>
          <w:highlight w:val="none"/>
        </w:rPr>
        <w:t>月</w:t>
      </w:r>
      <w:r>
        <w:rPr>
          <w:rFonts w:hint="eastAsia"/>
          <w:color w:val="auto"/>
          <w:highlight w:val="none"/>
          <w:lang w:val="en-US" w:eastAsia="zh-CN"/>
        </w:rPr>
        <w:t>7</w:t>
      </w:r>
      <w:r>
        <w:rPr>
          <w:rFonts w:hint="eastAsia"/>
          <w:color w:val="auto"/>
          <w:highlight w:val="none"/>
        </w:rPr>
        <w:t>日</w:t>
      </w:r>
      <w:r>
        <w:rPr>
          <w:rFonts w:hint="eastAsia"/>
          <w:color w:val="auto"/>
          <w:highlight w:val="none"/>
          <w:lang w:val="en-US" w:eastAsia="zh-CN"/>
        </w:rPr>
        <w:t>9</w:t>
      </w:r>
      <w:r>
        <w:rPr>
          <w:rFonts w:hint="eastAsia"/>
          <w:color w:val="auto"/>
          <w:highlight w:val="none"/>
        </w:rPr>
        <w:t>时</w:t>
      </w:r>
      <w:r>
        <w:rPr>
          <w:rFonts w:hint="eastAsia"/>
          <w:color w:val="auto"/>
          <w:highlight w:val="none"/>
          <w:lang w:val="en-US" w:eastAsia="zh-CN"/>
        </w:rPr>
        <w:t>30</w:t>
      </w:r>
      <w:r>
        <w:rPr>
          <w:rFonts w:hint="eastAsia"/>
          <w:color w:val="auto"/>
          <w:highlight w:val="none"/>
        </w:rPr>
        <w:t>分至</w:t>
      </w:r>
      <w:r>
        <w:rPr>
          <w:rFonts w:hint="eastAsia"/>
          <w:color w:val="auto"/>
          <w:highlight w:val="none"/>
          <w:lang w:val="en-US" w:eastAsia="zh-CN"/>
        </w:rPr>
        <w:t>10</w:t>
      </w:r>
      <w:r>
        <w:rPr>
          <w:rFonts w:hint="eastAsia"/>
          <w:color w:val="auto"/>
          <w:highlight w:val="none"/>
        </w:rPr>
        <w:t>时</w:t>
      </w:r>
      <w:r>
        <w:rPr>
          <w:rFonts w:hint="eastAsia"/>
          <w:color w:val="auto"/>
          <w:highlight w:val="none"/>
          <w:lang w:val="en-US" w:eastAsia="zh-CN"/>
        </w:rPr>
        <w:t>00</w:t>
      </w:r>
      <w:r>
        <w:rPr>
          <w:rFonts w:hint="eastAsia"/>
          <w:color w:val="auto"/>
          <w:highlight w:val="none"/>
        </w:rPr>
        <w:t>分。</w:t>
      </w:r>
    </w:p>
    <w:p>
      <w:pPr>
        <w:pStyle w:val="44"/>
        <w:spacing w:line="520" w:lineRule="exact"/>
        <w:ind w:firstLine="480" w:firstLineChars="200"/>
        <w:rPr>
          <w:color w:val="auto"/>
          <w:highlight w:val="none"/>
        </w:rPr>
      </w:pPr>
      <w:r>
        <w:rPr>
          <w:rFonts w:hint="eastAsia"/>
          <w:color w:val="auto"/>
          <w:highlight w:val="none"/>
        </w:rPr>
        <w:t>(二)投标文件递交地点：</w:t>
      </w:r>
      <w:r>
        <w:rPr>
          <w:rFonts w:hint="eastAsia"/>
          <w:color w:val="auto"/>
          <w:highlight w:val="none"/>
          <w:lang w:val="zh-CN"/>
        </w:rPr>
        <w:t>成都市高新区吉庆三路333号蜀都中心二期一号楼一单元401号</w:t>
      </w:r>
      <w:r>
        <w:rPr>
          <w:rFonts w:hint="eastAsia"/>
          <w:color w:val="auto"/>
          <w:highlight w:val="none"/>
        </w:rPr>
        <w:t>本项目开标室。</w:t>
      </w:r>
    </w:p>
    <w:p>
      <w:pPr>
        <w:pStyle w:val="44"/>
        <w:spacing w:line="520" w:lineRule="exact"/>
        <w:ind w:firstLine="480" w:firstLineChars="200"/>
        <w:rPr>
          <w:color w:val="auto"/>
          <w:highlight w:val="none"/>
        </w:rPr>
      </w:pPr>
      <w:r>
        <w:rPr>
          <w:rFonts w:hint="eastAsia"/>
          <w:color w:val="auto"/>
          <w:highlight w:val="none"/>
        </w:rPr>
        <w:t>(三)投标文件必须在投标截止时间前送达开标地点，逾期送达的投标文件恕不接收，本次招标不接受邮寄的投标文件。</w:t>
      </w:r>
    </w:p>
    <w:p>
      <w:pPr>
        <w:pStyle w:val="44"/>
        <w:numPr>
          <w:ilvl w:val="0"/>
          <w:numId w:val="7"/>
        </w:numPr>
        <w:spacing w:line="520" w:lineRule="exact"/>
        <w:ind w:firstLine="482" w:firstLineChars="200"/>
        <w:rPr>
          <w:b/>
          <w:bCs/>
          <w:color w:val="auto"/>
          <w:highlight w:val="none"/>
        </w:rPr>
      </w:pPr>
      <w:r>
        <w:rPr>
          <w:rFonts w:hint="eastAsia"/>
          <w:b/>
          <w:bCs/>
          <w:color w:val="auto"/>
          <w:highlight w:val="none"/>
        </w:rPr>
        <w:t>提交投标文件截止时间及开标时间：</w:t>
      </w:r>
      <w:r>
        <w:rPr>
          <w:rFonts w:hint="eastAsia"/>
          <w:color w:val="auto"/>
          <w:highlight w:val="none"/>
        </w:rPr>
        <w:t>2023年</w:t>
      </w:r>
      <w:r>
        <w:rPr>
          <w:rFonts w:hint="eastAsia" w:cs="宋体"/>
          <w:color w:val="auto"/>
          <w:highlight w:val="none"/>
          <w:lang w:val="en-US" w:eastAsia="zh-CN" w:bidi="ar"/>
        </w:rPr>
        <w:t>11</w:t>
      </w:r>
      <w:r>
        <w:rPr>
          <w:rFonts w:hint="eastAsia"/>
          <w:color w:val="auto"/>
          <w:highlight w:val="none"/>
        </w:rPr>
        <w:t>月</w:t>
      </w:r>
      <w:r>
        <w:rPr>
          <w:rFonts w:hint="eastAsia" w:cs="宋体"/>
          <w:color w:val="auto"/>
          <w:highlight w:val="none"/>
          <w:lang w:val="en-US" w:eastAsia="zh-CN" w:bidi="ar"/>
        </w:rPr>
        <w:t>7</w:t>
      </w:r>
      <w:r>
        <w:rPr>
          <w:rFonts w:hint="eastAsia"/>
          <w:color w:val="auto"/>
          <w:highlight w:val="none"/>
        </w:rPr>
        <w:t>日</w:t>
      </w:r>
      <w:r>
        <w:rPr>
          <w:rFonts w:hint="eastAsia"/>
          <w:color w:val="auto"/>
          <w:highlight w:val="none"/>
          <w:lang w:val="en-US" w:eastAsia="zh-CN"/>
        </w:rPr>
        <w:t>10</w:t>
      </w:r>
      <w:r>
        <w:rPr>
          <w:rFonts w:hint="eastAsia"/>
          <w:color w:val="auto"/>
          <w:highlight w:val="none"/>
        </w:rPr>
        <w:t>时</w:t>
      </w:r>
      <w:r>
        <w:rPr>
          <w:rFonts w:hint="eastAsia"/>
          <w:color w:val="auto"/>
          <w:highlight w:val="none"/>
          <w:lang w:val="en-US" w:eastAsia="zh-CN"/>
        </w:rPr>
        <w:t>00</w:t>
      </w:r>
      <w:r>
        <w:rPr>
          <w:rFonts w:hint="eastAsia"/>
          <w:color w:val="auto"/>
          <w:highlight w:val="none"/>
        </w:rPr>
        <w:t>分。</w:t>
      </w:r>
    </w:p>
    <w:p>
      <w:pPr>
        <w:pStyle w:val="44"/>
        <w:numPr>
          <w:ilvl w:val="0"/>
          <w:numId w:val="7"/>
        </w:numPr>
        <w:spacing w:line="520" w:lineRule="exact"/>
        <w:ind w:firstLine="482" w:firstLineChars="200"/>
        <w:rPr>
          <w:b/>
          <w:bCs/>
          <w:color w:val="auto"/>
          <w:highlight w:val="none"/>
        </w:rPr>
      </w:pPr>
      <w:r>
        <w:rPr>
          <w:rFonts w:hint="eastAsia"/>
          <w:b/>
          <w:bCs/>
          <w:color w:val="auto"/>
          <w:highlight w:val="none"/>
        </w:rPr>
        <w:t>开标地点：</w:t>
      </w:r>
      <w:r>
        <w:rPr>
          <w:rFonts w:hint="eastAsia"/>
          <w:color w:val="auto"/>
          <w:highlight w:val="none"/>
          <w:lang w:val="zh-CN"/>
        </w:rPr>
        <w:t>成都市高新区吉庆三路333号蜀都中心二期一号楼一单元401号</w:t>
      </w:r>
      <w:r>
        <w:rPr>
          <w:rFonts w:hint="eastAsia"/>
          <w:color w:val="auto"/>
          <w:highlight w:val="none"/>
        </w:rPr>
        <w:t>本项目开标室。</w:t>
      </w:r>
    </w:p>
    <w:p>
      <w:pPr>
        <w:pStyle w:val="44"/>
        <w:numPr>
          <w:ilvl w:val="0"/>
          <w:numId w:val="7"/>
        </w:numPr>
        <w:spacing w:line="520" w:lineRule="exact"/>
        <w:ind w:firstLine="482" w:firstLineChars="200"/>
        <w:rPr>
          <w:b/>
          <w:bCs/>
          <w:color w:val="auto"/>
          <w:highlight w:val="none"/>
        </w:rPr>
      </w:pPr>
      <w:r>
        <w:rPr>
          <w:rFonts w:hint="eastAsia"/>
          <w:b/>
          <w:bCs/>
          <w:color w:val="auto"/>
          <w:highlight w:val="none"/>
        </w:rPr>
        <w:t>采购信息发布媒体：</w:t>
      </w:r>
      <w:r>
        <w:rPr>
          <w:rFonts w:hint="eastAsia"/>
          <w:color w:val="auto"/>
          <w:highlight w:val="none"/>
          <w:lang w:eastAsia="zh-CN"/>
        </w:rPr>
        <w:t>“中国招标投标公共服务平台”</w:t>
      </w:r>
      <w:r>
        <w:rPr>
          <w:rFonts w:hint="eastAsia"/>
          <w:color w:val="auto"/>
          <w:highlight w:val="none"/>
        </w:rPr>
        <w:t>。</w:t>
      </w:r>
    </w:p>
    <w:p>
      <w:pPr>
        <w:pStyle w:val="44"/>
        <w:numPr>
          <w:ilvl w:val="0"/>
          <w:numId w:val="7"/>
        </w:numPr>
        <w:spacing w:line="520" w:lineRule="exact"/>
        <w:ind w:firstLine="482" w:firstLineChars="200"/>
        <w:rPr>
          <w:b/>
          <w:bCs/>
          <w:color w:val="auto"/>
          <w:highlight w:val="none"/>
        </w:rPr>
      </w:pPr>
      <w:r>
        <w:rPr>
          <w:rFonts w:hint="eastAsia"/>
          <w:b/>
          <w:bCs/>
          <w:color w:val="auto"/>
          <w:highlight w:val="none"/>
        </w:rPr>
        <w:t>对本次招标提出询问，请按以下方式联系：</w:t>
      </w:r>
    </w:p>
    <w:p>
      <w:pPr>
        <w:pStyle w:val="44"/>
        <w:spacing w:line="520" w:lineRule="exact"/>
        <w:ind w:firstLine="480" w:firstLineChars="200"/>
        <w:rPr>
          <w:color w:val="auto"/>
          <w:highlight w:val="none"/>
        </w:rPr>
      </w:pPr>
      <w:r>
        <w:rPr>
          <w:rFonts w:hint="eastAsia"/>
          <w:color w:val="auto"/>
          <w:highlight w:val="none"/>
        </w:rPr>
        <w:t>(一)采购人信息</w:t>
      </w:r>
    </w:p>
    <w:p>
      <w:pPr>
        <w:pStyle w:val="44"/>
        <w:spacing w:line="520" w:lineRule="exact"/>
        <w:ind w:firstLine="480" w:firstLineChars="200"/>
        <w:rPr>
          <w:color w:val="auto"/>
          <w:highlight w:val="none"/>
        </w:rPr>
      </w:pPr>
      <w:r>
        <w:rPr>
          <w:rFonts w:hint="eastAsia"/>
          <w:color w:val="auto"/>
          <w:highlight w:val="none"/>
        </w:rPr>
        <w:t>名    称：成都市技师学院</w:t>
      </w:r>
    </w:p>
    <w:p>
      <w:pPr>
        <w:pStyle w:val="44"/>
        <w:spacing w:line="520" w:lineRule="exact"/>
        <w:ind w:firstLine="480" w:firstLineChars="200"/>
        <w:rPr>
          <w:color w:val="auto"/>
          <w:highlight w:val="none"/>
        </w:rPr>
      </w:pPr>
      <w:r>
        <w:rPr>
          <w:rFonts w:hint="eastAsia"/>
          <w:color w:val="auto"/>
          <w:highlight w:val="none"/>
        </w:rPr>
        <w:t>地    址：成都市郫都区红光街道港通北三路1899号</w:t>
      </w:r>
    </w:p>
    <w:p>
      <w:pPr>
        <w:pStyle w:val="44"/>
        <w:spacing w:line="520" w:lineRule="exact"/>
        <w:ind w:firstLine="480" w:firstLineChars="200"/>
        <w:rPr>
          <w:color w:val="auto"/>
          <w:highlight w:val="none"/>
        </w:rPr>
      </w:pPr>
      <w:r>
        <w:rPr>
          <w:rFonts w:hint="eastAsia"/>
          <w:color w:val="auto"/>
          <w:highlight w:val="none"/>
        </w:rPr>
        <w:t>联 系 人：</w:t>
      </w:r>
      <w:r>
        <w:rPr>
          <w:rFonts w:hint="eastAsia" w:ascii="宋体" w:hAnsi="宋体" w:eastAsia="宋体" w:cs="宋体"/>
          <w:color w:val="auto"/>
          <w:highlight w:val="none"/>
        </w:rPr>
        <w:t>王</w:t>
      </w:r>
      <w:r>
        <w:rPr>
          <w:rFonts w:hint="eastAsia" w:cs="宋体"/>
          <w:color w:val="auto"/>
          <w:highlight w:val="none"/>
          <w:lang w:val="en-US" w:eastAsia="zh-CN"/>
        </w:rPr>
        <w:t>老师</w:t>
      </w:r>
      <w:r>
        <w:rPr>
          <w:rFonts w:hint="eastAsia"/>
          <w:color w:val="auto"/>
          <w:highlight w:val="none"/>
        </w:rPr>
        <w:t xml:space="preserve">  </w:t>
      </w:r>
    </w:p>
    <w:p>
      <w:pPr>
        <w:pStyle w:val="44"/>
        <w:spacing w:line="520" w:lineRule="exact"/>
        <w:ind w:firstLine="480" w:firstLineChars="200"/>
        <w:rPr>
          <w:color w:val="auto"/>
          <w:highlight w:val="none"/>
        </w:rPr>
      </w:pPr>
      <w:r>
        <w:rPr>
          <w:rFonts w:hint="eastAsia"/>
          <w:color w:val="auto"/>
          <w:highlight w:val="none"/>
        </w:rPr>
        <w:t xml:space="preserve">联系方式：028-64907283 </w:t>
      </w:r>
    </w:p>
    <w:p>
      <w:pPr>
        <w:pStyle w:val="44"/>
        <w:spacing w:line="520" w:lineRule="exact"/>
        <w:ind w:firstLine="480" w:firstLineChars="200"/>
        <w:rPr>
          <w:color w:val="auto"/>
          <w:highlight w:val="none"/>
        </w:rPr>
      </w:pPr>
      <w:r>
        <w:rPr>
          <w:rFonts w:hint="eastAsia"/>
          <w:color w:val="auto"/>
          <w:highlight w:val="none"/>
        </w:rPr>
        <w:t>(二)采购代理机构信息</w:t>
      </w:r>
    </w:p>
    <w:p>
      <w:pPr>
        <w:pStyle w:val="44"/>
        <w:spacing w:line="520" w:lineRule="exact"/>
        <w:ind w:firstLine="480" w:firstLineChars="200"/>
        <w:rPr>
          <w:color w:val="auto"/>
          <w:highlight w:val="none"/>
        </w:rPr>
      </w:pPr>
      <w:r>
        <w:rPr>
          <w:rFonts w:hint="eastAsia"/>
          <w:color w:val="auto"/>
          <w:highlight w:val="none"/>
        </w:rPr>
        <w:t>名    称：四川乾新招投标代理有限公司</w:t>
      </w:r>
    </w:p>
    <w:p>
      <w:pPr>
        <w:pStyle w:val="44"/>
        <w:spacing w:line="520" w:lineRule="exact"/>
        <w:ind w:firstLine="480" w:firstLineChars="200"/>
        <w:rPr>
          <w:color w:val="auto"/>
          <w:highlight w:val="none"/>
        </w:rPr>
      </w:pPr>
      <w:r>
        <w:rPr>
          <w:rFonts w:hint="eastAsia"/>
          <w:color w:val="auto"/>
          <w:highlight w:val="none"/>
        </w:rPr>
        <w:t>地    址：</w:t>
      </w:r>
      <w:r>
        <w:rPr>
          <w:rFonts w:hint="eastAsia"/>
          <w:color w:val="auto"/>
          <w:highlight w:val="none"/>
          <w:lang w:val="zh-CN"/>
        </w:rPr>
        <w:t>成都市高新区吉庆三路333号蜀都中心二期一号楼一单元401号</w:t>
      </w:r>
    </w:p>
    <w:p>
      <w:pPr>
        <w:pStyle w:val="44"/>
        <w:spacing w:line="520" w:lineRule="exact"/>
        <w:ind w:firstLine="480" w:firstLineChars="200"/>
        <w:rPr>
          <w:color w:val="auto"/>
          <w:highlight w:val="none"/>
        </w:rPr>
      </w:pPr>
      <w:r>
        <w:rPr>
          <w:rFonts w:hint="eastAsia"/>
          <w:color w:val="auto"/>
          <w:highlight w:val="none"/>
        </w:rPr>
        <w:t>联 系 人：王朝钢</w:t>
      </w:r>
    </w:p>
    <w:p>
      <w:pPr>
        <w:pStyle w:val="44"/>
        <w:spacing w:line="520" w:lineRule="exact"/>
        <w:ind w:firstLine="480" w:firstLineChars="200"/>
        <w:rPr>
          <w:color w:val="auto"/>
          <w:highlight w:val="none"/>
        </w:rPr>
      </w:pPr>
      <w:r>
        <w:rPr>
          <w:rFonts w:hint="eastAsia" w:cs="宋体"/>
          <w:color w:val="auto"/>
          <w:highlight w:val="none"/>
        </w:rPr>
        <w:t>招标文件咨询</w:t>
      </w:r>
      <w:r>
        <w:rPr>
          <w:rFonts w:hint="eastAsia" w:cs="宋体"/>
          <w:color w:val="auto"/>
          <w:highlight w:val="none"/>
          <w:lang w:val="zh-CN"/>
        </w:rPr>
        <w:t>电话：028-84638556、84882960转</w:t>
      </w:r>
      <w:r>
        <w:rPr>
          <w:rFonts w:hint="eastAsia" w:cs="宋体"/>
          <w:color w:val="auto"/>
          <w:highlight w:val="none"/>
        </w:rPr>
        <w:t>663</w:t>
      </w:r>
    </w:p>
    <w:p>
      <w:pPr>
        <w:pStyle w:val="44"/>
        <w:spacing w:line="520" w:lineRule="exact"/>
        <w:ind w:firstLine="480" w:firstLineChars="200"/>
        <w:rPr>
          <w:rFonts w:hint="default" w:eastAsia="宋体" w:cs="宋体"/>
          <w:color w:val="auto"/>
          <w:highlight w:val="none"/>
          <w:lang w:val="en-US" w:eastAsia="zh-CN"/>
        </w:rPr>
      </w:pPr>
      <w:r>
        <w:rPr>
          <w:rFonts w:hint="eastAsia" w:cs="宋体"/>
          <w:color w:val="auto"/>
          <w:highlight w:val="none"/>
        </w:rPr>
        <w:t>开评标工作咨询电话：028-61375575、62630990转</w:t>
      </w:r>
      <w:r>
        <w:rPr>
          <w:rFonts w:hint="eastAsia" w:cs="宋体"/>
          <w:color w:val="auto"/>
          <w:highlight w:val="none"/>
          <w:lang w:val="en-US" w:eastAsia="zh-CN"/>
        </w:rPr>
        <w:t>612</w:t>
      </w:r>
    </w:p>
    <w:p>
      <w:pPr>
        <w:pStyle w:val="44"/>
        <w:spacing w:line="520" w:lineRule="exact"/>
        <w:ind w:firstLine="480" w:firstLineChars="200"/>
        <w:rPr>
          <w:rFonts w:cs="宋体"/>
          <w:color w:val="auto"/>
          <w:highlight w:val="none"/>
        </w:rPr>
      </w:pPr>
      <w:r>
        <w:rPr>
          <w:rFonts w:hint="eastAsia" w:cs="宋体"/>
          <w:color w:val="auto"/>
          <w:highlight w:val="none"/>
        </w:rPr>
        <w:t>发票开具与咨询电话：028-84638556、84882960转609</w:t>
      </w:r>
    </w:p>
    <w:p>
      <w:pPr>
        <w:pStyle w:val="44"/>
        <w:spacing w:line="520" w:lineRule="exact"/>
        <w:ind w:firstLine="480" w:firstLineChars="200"/>
        <w:rPr>
          <w:rFonts w:cs="宋体"/>
          <w:color w:val="auto"/>
          <w:highlight w:val="none"/>
        </w:rPr>
      </w:pPr>
      <w:r>
        <w:rPr>
          <w:rFonts w:hint="eastAsia" w:cs="宋体"/>
          <w:color w:val="auto"/>
          <w:highlight w:val="none"/>
        </w:rPr>
        <w:t>中标通知书领取电话：028-61375575、62630990转601或602</w:t>
      </w:r>
    </w:p>
    <w:p>
      <w:pPr>
        <w:pStyle w:val="44"/>
        <w:spacing w:line="520" w:lineRule="exact"/>
        <w:ind w:firstLine="480" w:firstLineChars="200"/>
        <w:rPr>
          <w:rFonts w:cs="宋体"/>
          <w:color w:val="auto"/>
          <w:highlight w:val="none"/>
        </w:rPr>
      </w:pPr>
      <w:r>
        <w:rPr>
          <w:rFonts w:hint="eastAsia" w:cs="宋体"/>
          <w:color w:val="auto"/>
          <w:highlight w:val="none"/>
        </w:rPr>
        <w:t>服务质量投诉电话：</w:t>
      </w:r>
      <w:r>
        <w:rPr>
          <w:rFonts w:hint="eastAsia" w:cs="宋体"/>
          <w:color w:val="auto"/>
          <w:highlight w:val="none"/>
          <w:lang w:val="zh-CN"/>
        </w:rPr>
        <w:t>028-84638556、84882960</w:t>
      </w:r>
      <w:r>
        <w:rPr>
          <w:rFonts w:hint="eastAsia" w:cs="宋体"/>
          <w:color w:val="auto"/>
          <w:highlight w:val="none"/>
        </w:rPr>
        <w:t>转603</w:t>
      </w:r>
    </w:p>
    <w:p>
      <w:pPr>
        <w:pStyle w:val="44"/>
        <w:spacing w:line="520" w:lineRule="exact"/>
        <w:ind w:firstLine="480" w:firstLineChars="200"/>
        <w:rPr>
          <w:rFonts w:cs="宋体"/>
          <w:color w:val="auto"/>
          <w:highlight w:val="none"/>
          <w:lang w:val="zh-CN"/>
        </w:rPr>
      </w:pPr>
      <w:r>
        <w:rPr>
          <w:rFonts w:hint="eastAsia" w:cs="宋体"/>
          <w:color w:val="auto"/>
          <w:highlight w:val="none"/>
          <w:lang w:val="zh-CN"/>
        </w:rPr>
        <w:t>传    真：</w:t>
      </w:r>
      <w:r>
        <w:rPr>
          <w:rFonts w:hint="eastAsia" w:cs="宋体"/>
          <w:color w:val="auto"/>
          <w:highlight w:val="none"/>
        </w:rPr>
        <w:t>028-</w:t>
      </w:r>
      <w:r>
        <w:rPr>
          <w:rFonts w:hint="eastAsia" w:cs="宋体"/>
          <w:color w:val="auto"/>
          <w:highlight w:val="none"/>
          <w:lang w:val="zh-CN"/>
        </w:rPr>
        <w:t>83381</w:t>
      </w:r>
      <w:r>
        <w:rPr>
          <w:rFonts w:hint="eastAsia" w:cs="宋体"/>
          <w:color w:val="auto"/>
          <w:highlight w:val="none"/>
        </w:rPr>
        <w:t>268</w:t>
      </w:r>
    </w:p>
    <w:p>
      <w:pPr>
        <w:pStyle w:val="44"/>
        <w:spacing w:line="520" w:lineRule="exact"/>
        <w:ind w:firstLine="480" w:firstLineChars="200"/>
        <w:rPr>
          <w:color w:val="auto"/>
          <w:highlight w:val="none"/>
          <w:lang w:val="zh-CN"/>
        </w:rPr>
      </w:pPr>
      <w:r>
        <w:rPr>
          <w:rFonts w:hint="eastAsia" w:cs="宋体"/>
          <w:color w:val="auto"/>
          <w:highlight w:val="none"/>
          <w:lang w:val="zh-CN"/>
        </w:rPr>
        <w:t>电子邮件：</w:t>
      </w:r>
      <w:r>
        <w:rPr>
          <w:color w:val="auto"/>
          <w:highlight w:val="none"/>
        </w:rPr>
        <w:fldChar w:fldCharType="begin"/>
      </w:r>
      <w:r>
        <w:rPr>
          <w:color w:val="auto"/>
          <w:highlight w:val="none"/>
        </w:rPr>
        <w:instrText xml:space="preserve"> HYPERLINK "mailto:scqxzb@163.com" </w:instrText>
      </w:r>
      <w:r>
        <w:rPr>
          <w:color w:val="auto"/>
          <w:highlight w:val="none"/>
        </w:rPr>
        <w:fldChar w:fldCharType="separate"/>
      </w:r>
      <w:r>
        <w:rPr>
          <w:rFonts w:hint="eastAsia" w:cs="宋体"/>
          <w:color w:val="auto"/>
          <w:highlight w:val="none"/>
          <w:lang w:val="zh-CN"/>
        </w:rPr>
        <w:t>scqxzb@163.com</w:t>
      </w:r>
      <w:r>
        <w:rPr>
          <w:rFonts w:hint="eastAsia" w:cs="宋体"/>
          <w:color w:val="auto"/>
          <w:highlight w:val="none"/>
          <w:lang w:val="zh-CN"/>
        </w:rPr>
        <w:fldChar w:fldCharType="end"/>
      </w:r>
    </w:p>
    <w:p>
      <w:pPr>
        <w:pStyle w:val="50"/>
        <w:spacing w:before="120" w:after="120"/>
        <w:rPr>
          <w:color w:val="auto"/>
          <w:highlight w:val="none"/>
        </w:rPr>
      </w:pPr>
      <w:r>
        <w:rPr>
          <w:rFonts w:hint="eastAsia"/>
          <w:color w:val="auto"/>
          <w:highlight w:val="none"/>
        </w:rPr>
        <w:br w:type="page"/>
      </w:r>
      <w:bookmarkEnd w:id="9"/>
      <w:bookmarkEnd w:id="10"/>
      <w:bookmarkEnd w:id="11"/>
      <w:bookmarkEnd w:id="12"/>
      <w:bookmarkEnd w:id="13"/>
      <w:bookmarkStart w:id="15" w:name="_Toc30888"/>
      <w:bookmarkStart w:id="16" w:name="_Toc2776"/>
      <w:bookmarkStart w:id="17" w:name="_Toc7416"/>
      <w:bookmarkStart w:id="18" w:name="_Toc25668"/>
      <w:bookmarkStart w:id="19" w:name="_Toc7297"/>
      <w:bookmarkStart w:id="20" w:name="_Toc2482"/>
      <w:r>
        <w:rPr>
          <w:rFonts w:hint="eastAsia"/>
          <w:color w:val="auto"/>
          <w:highlight w:val="none"/>
        </w:rPr>
        <w:t>投标人须知</w:t>
      </w:r>
      <w:bookmarkEnd w:id="15"/>
      <w:bookmarkEnd w:id="16"/>
      <w:bookmarkEnd w:id="17"/>
      <w:bookmarkEnd w:id="18"/>
      <w:bookmarkEnd w:id="19"/>
      <w:bookmarkEnd w:id="20"/>
    </w:p>
    <w:p>
      <w:pPr>
        <w:pStyle w:val="45"/>
        <w:spacing w:before="120" w:after="120"/>
        <w:rPr>
          <w:color w:val="auto"/>
          <w:highlight w:val="none"/>
        </w:rPr>
      </w:pPr>
      <w:bookmarkStart w:id="21" w:name="_Toc189727030"/>
      <w:bookmarkStart w:id="22" w:name="_Toc213496268"/>
      <w:bookmarkStart w:id="23" w:name="_Toc217446032"/>
      <w:bookmarkStart w:id="24" w:name="_Toc31215"/>
      <w:bookmarkStart w:id="25" w:name="_Toc18640"/>
      <w:bookmarkStart w:id="26" w:name="_Toc213397010"/>
      <w:bookmarkStart w:id="27" w:name="_Toc327196261"/>
      <w:bookmarkStart w:id="28" w:name="_Toc24491"/>
      <w:bookmarkStart w:id="29" w:name="_Toc213396946"/>
      <w:bookmarkStart w:id="30" w:name="_Toc213396760"/>
      <w:bookmarkStart w:id="31" w:name="_Toc28824"/>
      <w:bookmarkStart w:id="32" w:name="_Toc6734"/>
      <w:bookmarkStart w:id="33" w:name="_Toc14035"/>
      <w:r>
        <w:rPr>
          <w:rFonts w:hint="eastAsia"/>
          <w:color w:val="auto"/>
          <w:highlight w:val="none"/>
        </w:rPr>
        <w:t>投标人须知前附表</w:t>
      </w:r>
      <w:bookmarkEnd w:id="21"/>
      <w:bookmarkEnd w:id="22"/>
      <w:bookmarkEnd w:id="23"/>
      <w:bookmarkEnd w:id="24"/>
      <w:bookmarkEnd w:id="25"/>
      <w:bookmarkEnd w:id="26"/>
      <w:bookmarkEnd w:id="27"/>
      <w:bookmarkEnd w:id="28"/>
      <w:bookmarkEnd w:id="29"/>
      <w:bookmarkEnd w:id="30"/>
      <w:bookmarkEnd w:id="31"/>
      <w:bookmarkEnd w:id="32"/>
      <w:bookmarkEnd w:id="33"/>
    </w:p>
    <w:tbl>
      <w:tblPr>
        <w:tblStyle w:val="23"/>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2009"/>
        <w:gridCol w:w="7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570" w:type="dxa"/>
            <w:vAlign w:val="center"/>
          </w:tcPr>
          <w:p>
            <w:pPr>
              <w:pStyle w:val="47"/>
              <w:ind w:left="60" w:leftChars="25" w:right="60" w:rightChars="25"/>
              <w:rPr>
                <w:rFonts w:cs="宋体"/>
                <w:b/>
                <w:bCs/>
                <w:color w:val="auto"/>
                <w:szCs w:val="21"/>
                <w:highlight w:val="none"/>
                <w:lang w:val="zh-CN"/>
              </w:rPr>
            </w:pPr>
            <w:bookmarkStart w:id="34" w:name="_Toc327196262"/>
            <w:r>
              <w:rPr>
                <w:rFonts w:hint="eastAsia" w:cs="宋体"/>
                <w:b/>
                <w:bCs/>
                <w:color w:val="auto"/>
                <w:szCs w:val="21"/>
                <w:highlight w:val="none"/>
                <w:lang w:val="zh-CN"/>
              </w:rPr>
              <w:t>序号</w:t>
            </w:r>
          </w:p>
        </w:tc>
        <w:tc>
          <w:tcPr>
            <w:tcW w:w="2009" w:type="dxa"/>
            <w:vAlign w:val="center"/>
          </w:tcPr>
          <w:p>
            <w:pPr>
              <w:pStyle w:val="47"/>
              <w:ind w:left="60" w:leftChars="25" w:right="60" w:rightChars="25"/>
              <w:rPr>
                <w:rFonts w:cs="宋体"/>
                <w:b/>
                <w:bCs/>
                <w:color w:val="auto"/>
                <w:szCs w:val="21"/>
                <w:highlight w:val="none"/>
                <w:lang w:val="zh-CN"/>
              </w:rPr>
            </w:pPr>
            <w:r>
              <w:rPr>
                <w:rFonts w:hint="eastAsia" w:cs="宋体"/>
                <w:b/>
                <w:bCs/>
                <w:color w:val="auto"/>
                <w:szCs w:val="21"/>
                <w:highlight w:val="none"/>
              </w:rPr>
              <w:t>条款名称</w:t>
            </w:r>
            <w:r>
              <w:rPr>
                <w:rFonts w:hint="eastAsia" w:cs="宋体"/>
                <w:b/>
                <w:bCs/>
                <w:color w:val="auto"/>
                <w:szCs w:val="21"/>
                <w:highlight w:val="none"/>
                <w:lang w:val="zh-CN"/>
              </w:rPr>
              <w:t xml:space="preserve"> </w:t>
            </w:r>
          </w:p>
        </w:tc>
        <w:tc>
          <w:tcPr>
            <w:tcW w:w="7171" w:type="dxa"/>
            <w:vAlign w:val="center"/>
          </w:tcPr>
          <w:p>
            <w:pPr>
              <w:pStyle w:val="47"/>
              <w:ind w:left="60" w:leftChars="25" w:right="60" w:rightChars="25"/>
              <w:rPr>
                <w:rFonts w:cs="宋体"/>
                <w:b/>
                <w:bCs/>
                <w:color w:val="auto"/>
                <w:szCs w:val="21"/>
                <w:highlight w:val="none"/>
                <w:lang w:val="zh-CN"/>
              </w:rPr>
            </w:pPr>
            <w:r>
              <w:rPr>
                <w:rFonts w:hint="eastAsia" w:cs="宋体"/>
                <w:b/>
                <w:bCs/>
                <w:color w:val="auto"/>
                <w:szCs w:val="21"/>
                <w:highlight w:val="none"/>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cs="宋体"/>
                <w:color w:val="auto"/>
                <w:szCs w:val="21"/>
                <w:highlight w:val="none"/>
                <w:lang w:val="zh-CN"/>
              </w:rPr>
            </w:pPr>
            <w:r>
              <w:rPr>
                <w:rFonts w:hint="eastAsia" w:cs="宋体"/>
                <w:color w:val="auto"/>
                <w:szCs w:val="21"/>
                <w:highlight w:val="none"/>
              </w:rPr>
              <w:t>采购预算</w:t>
            </w:r>
          </w:p>
        </w:tc>
        <w:tc>
          <w:tcPr>
            <w:tcW w:w="7171" w:type="dxa"/>
            <w:vAlign w:val="center"/>
          </w:tcPr>
          <w:p>
            <w:pPr>
              <w:pStyle w:val="43"/>
              <w:numPr>
                <w:ilvl w:val="0"/>
                <w:numId w:val="0"/>
              </w:numPr>
              <w:ind w:leftChars="25" w:right="60" w:rightChars="25"/>
              <w:rPr>
                <w:rFonts w:cs="宋体"/>
                <w:color w:val="auto"/>
                <w:szCs w:val="21"/>
                <w:highlight w:val="none"/>
              </w:rPr>
            </w:pPr>
            <w:r>
              <w:rPr>
                <w:rFonts w:hint="eastAsia" w:cs="宋体"/>
                <w:b/>
                <w:bCs/>
                <w:color w:val="auto"/>
                <w:szCs w:val="21"/>
                <w:highlight w:val="none"/>
                <w:lang w:val="zh-CN"/>
              </w:rPr>
              <w:t>本</w:t>
            </w:r>
            <w:r>
              <w:rPr>
                <w:rFonts w:hint="eastAsia" w:cs="宋体"/>
                <w:b/>
                <w:bCs/>
                <w:color w:val="auto"/>
                <w:szCs w:val="21"/>
                <w:highlight w:val="none"/>
              </w:rPr>
              <w:t>项目为学生自行支付费用。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default"/>
                <w:color w:val="auto"/>
                <w:sz w:val="21"/>
                <w:szCs w:val="21"/>
                <w:highlight w:val="none"/>
                <w:lang w:val="en-US" w:eastAsia="zh-CN"/>
              </w:rPr>
            </w:pPr>
            <w:r>
              <w:rPr>
                <w:rFonts w:hint="eastAsia"/>
                <w:color w:val="auto"/>
                <w:sz w:val="21"/>
                <w:szCs w:val="21"/>
                <w:highlight w:val="none"/>
                <w:lang w:val="en-US" w:eastAsia="zh-CN"/>
              </w:rPr>
              <w:t>单价最高限价及报价要求</w:t>
            </w:r>
          </w:p>
          <w:p>
            <w:pPr>
              <w:pStyle w:val="47"/>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ascii="宋体" w:hAnsi="宋体" w:eastAsia="宋体" w:cstheme="minorBidi"/>
                <w:color w:val="auto"/>
                <w:kern w:val="2"/>
                <w:sz w:val="21"/>
                <w:szCs w:val="21"/>
                <w:highlight w:val="none"/>
                <w:lang w:val="en-US" w:eastAsia="zh-CN" w:bidi="ar-SA"/>
              </w:rPr>
            </w:pPr>
            <w:r>
              <w:rPr>
                <w:rFonts w:hint="eastAsia"/>
                <w:color w:val="auto"/>
                <w:sz w:val="21"/>
                <w:szCs w:val="21"/>
                <w:highlight w:val="none"/>
                <w:lang w:val="zh-CN" w:eastAsia="zh-CN"/>
              </w:rPr>
              <w:t>(实质性要求)</w:t>
            </w:r>
          </w:p>
        </w:tc>
        <w:tc>
          <w:tcPr>
            <w:tcW w:w="7171"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color w:val="auto"/>
                <w:sz w:val="21"/>
                <w:szCs w:val="21"/>
                <w:highlight w:val="none"/>
                <w:lang w:val="zh-CN"/>
              </w:rPr>
            </w:pPr>
            <w:r>
              <w:rPr>
                <w:rFonts w:hint="eastAsia"/>
                <w:color w:val="auto"/>
                <w:sz w:val="21"/>
                <w:szCs w:val="21"/>
                <w:highlight w:val="none"/>
                <w:lang w:val="en-US" w:eastAsia="zh-CN"/>
              </w:rPr>
              <w:t>1.本项目单价最高限价详见第六章。</w:t>
            </w:r>
          </w:p>
          <w:p>
            <w:pPr>
              <w:pStyle w:val="43"/>
              <w:keepNext w:val="0"/>
              <w:keepLines w:val="0"/>
              <w:pageBreakBefore w:val="0"/>
              <w:widowControl w:val="0"/>
              <w:kinsoku/>
              <w:wordWrap w:val="0"/>
              <w:overflowPunct/>
              <w:topLinePunct/>
              <w:autoSpaceDE/>
              <w:autoSpaceDN/>
              <w:bidi w:val="0"/>
              <w:adjustRightInd w:val="0"/>
              <w:snapToGrid w:val="0"/>
              <w:spacing w:line="360" w:lineRule="exact"/>
              <w:ind w:left="12" w:leftChars="5" w:right="12" w:rightChars="5"/>
              <w:textAlignment w:val="auto"/>
              <w:rPr>
                <w:rFonts w:hint="eastAsia" w:ascii="宋体" w:hAnsi="宋体" w:eastAsia="宋体" w:cstheme="minorBidi"/>
                <w:snapToGrid w:val="0"/>
                <w:color w:val="auto"/>
                <w:kern w:val="2"/>
                <w:sz w:val="21"/>
                <w:szCs w:val="21"/>
                <w:highlight w:val="none"/>
                <w:lang w:val="zh-CN" w:eastAsia="zh-CN" w:bidi="ar-SA"/>
              </w:rPr>
            </w:pPr>
            <w:r>
              <w:rPr>
                <w:rFonts w:hint="eastAsia"/>
                <w:color w:val="auto"/>
                <w:sz w:val="21"/>
                <w:szCs w:val="21"/>
                <w:highlight w:val="none"/>
                <w:lang w:val="en-US" w:eastAsia="zh-CN"/>
              </w:rPr>
              <w:t>2.</w:t>
            </w:r>
            <w:r>
              <w:rPr>
                <w:rFonts w:hint="eastAsia"/>
                <w:color w:val="auto"/>
                <w:sz w:val="21"/>
                <w:szCs w:val="21"/>
                <w:highlight w:val="none"/>
                <w:lang w:val="zh-CN"/>
              </w:rPr>
              <w:t>本项目</w:t>
            </w:r>
            <w:r>
              <w:rPr>
                <w:rFonts w:hint="eastAsia"/>
                <w:color w:val="auto"/>
                <w:sz w:val="21"/>
                <w:szCs w:val="21"/>
                <w:highlight w:val="none"/>
              </w:rPr>
              <w:t>投标报价</w:t>
            </w:r>
            <w:r>
              <w:rPr>
                <w:rFonts w:hint="eastAsia"/>
                <w:color w:val="auto"/>
                <w:sz w:val="21"/>
                <w:szCs w:val="21"/>
                <w:highlight w:val="none"/>
                <w:lang w:val="en-US" w:eastAsia="zh-CN"/>
              </w:rPr>
              <w:t>在单价最高限价的基础上按照整体下浮率进行报价，报价</w:t>
            </w:r>
            <w:r>
              <w:rPr>
                <w:rFonts w:hint="eastAsia"/>
                <w:color w:val="auto"/>
                <w:sz w:val="21"/>
                <w:szCs w:val="21"/>
                <w:highlight w:val="none"/>
                <w:lang w:val="zh-CN"/>
              </w:rPr>
              <w:t>不</w:t>
            </w:r>
            <w:r>
              <w:rPr>
                <w:rFonts w:hint="eastAsia"/>
                <w:color w:val="auto"/>
                <w:sz w:val="21"/>
                <w:szCs w:val="21"/>
                <w:highlight w:val="none"/>
                <w:lang w:val="en-US" w:eastAsia="zh-CN"/>
              </w:rPr>
              <w:t>得为负数</w:t>
            </w:r>
            <w:r>
              <w:rPr>
                <w:rFonts w:hint="eastAsia"/>
                <w:color w:val="auto"/>
                <w:sz w:val="21"/>
                <w:szCs w:val="21"/>
                <w:highlight w:val="none"/>
                <w:lang w:val="zh-CN" w:eastAsia="zh-CN"/>
              </w:rPr>
              <w:t>，</w:t>
            </w:r>
            <w:r>
              <w:rPr>
                <w:rFonts w:hint="eastAsia"/>
                <w:color w:val="auto"/>
                <w:sz w:val="21"/>
                <w:szCs w:val="21"/>
                <w:highlight w:val="none"/>
              </w:rPr>
              <w:t>否则将被视为无效投标</w:t>
            </w:r>
            <w:r>
              <w:rPr>
                <w:rFonts w:hint="eastAsia"/>
                <w:color w:val="auto"/>
                <w:sz w:val="21"/>
                <w:szCs w:val="21"/>
                <w:highlight w:val="none"/>
                <w:lang w:eastAsia="zh-CN"/>
              </w:rPr>
              <w:t>【</w:t>
            </w:r>
            <w:r>
              <w:rPr>
                <w:rFonts w:hint="eastAsia"/>
                <w:color w:val="auto"/>
                <w:sz w:val="21"/>
                <w:szCs w:val="21"/>
                <w:highlight w:val="none"/>
                <w:lang w:val="en-US" w:eastAsia="zh-CN"/>
              </w:rPr>
              <w:t>例如：</w:t>
            </w:r>
            <w:r>
              <w:rPr>
                <w:rFonts w:hint="eastAsia" w:ascii="宋体" w:hAnsi="宋体" w:eastAsia="宋体" w:cs="宋体"/>
                <w:color w:val="auto"/>
                <w:sz w:val="21"/>
                <w:szCs w:val="21"/>
                <w:highlight w:val="none"/>
              </w:rPr>
              <w:t>A2西装套装</w:t>
            </w: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lang w:val="en-US" w:eastAsia="zh-CN"/>
              </w:rPr>
              <w:t>00</w:t>
            </w:r>
            <w:r>
              <w:rPr>
                <w:rFonts w:hint="eastAsia" w:ascii="宋体" w:hAnsi="宋体" w:eastAsia="宋体" w:cs="宋体"/>
                <w:color w:val="auto"/>
                <w:sz w:val="21"/>
                <w:szCs w:val="21"/>
                <w:highlight w:val="none"/>
                <w:lang w:eastAsia="zh-CN"/>
              </w:rPr>
              <w:t>元/套，</w:t>
            </w:r>
            <w:r>
              <w:rPr>
                <w:rFonts w:hint="eastAsia" w:ascii="宋体" w:hAnsi="宋体" w:eastAsia="宋体" w:cs="宋体"/>
                <w:color w:val="auto"/>
                <w:sz w:val="21"/>
                <w:szCs w:val="21"/>
                <w:highlight w:val="none"/>
                <w:lang w:val="en-US" w:eastAsia="zh-CN"/>
              </w:rPr>
              <w:t>下浮率10%，结算金额：500元/套×(1-10%)=450元/套</w:t>
            </w:r>
            <w:r>
              <w:rPr>
                <w:rFonts w:hint="eastAsia"/>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cs="宋体"/>
                <w:color w:val="auto"/>
                <w:szCs w:val="21"/>
                <w:highlight w:val="none"/>
              </w:rPr>
            </w:pPr>
            <w:r>
              <w:rPr>
                <w:rFonts w:hint="eastAsia" w:cs="宋体"/>
                <w:color w:val="auto"/>
                <w:szCs w:val="21"/>
                <w:highlight w:val="none"/>
              </w:rPr>
              <w:t>项目属性</w:t>
            </w:r>
          </w:p>
        </w:tc>
        <w:tc>
          <w:tcPr>
            <w:tcW w:w="7171" w:type="dxa"/>
            <w:vAlign w:val="center"/>
          </w:tcPr>
          <w:p>
            <w:pPr>
              <w:pStyle w:val="43"/>
              <w:ind w:left="60" w:leftChars="25" w:right="60" w:rightChars="25"/>
              <w:rPr>
                <w:rFonts w:cs="宋体"/>
                <w:color w:val="auto"/>
                <w:szCs w:val="21"/>
                <w:highlight w:val="none"/>
              </w:rPr>
            </w:pPr>
            <w:r>
              <w:rPr>
                <w:rFonts w:hint="eastAsia" w:cs="宋体"/>
                <w:color w:val="auto"/>
                <w:szCs w:val="21"/>
                <w:highlight w:val="none"/>
              </w:rPr>
              <w:t>本项目属于货物类采购项目，不对其中涉及的服务的承接商是否享受中小企业扶持政策作出要求。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cs="宋体"/>
                <w:color w:val="auto"/>
                <w:szCs w:val="21"/>
                <w:highlight w:val="none"/>
              </w:rPr>
            </w:pPr>
            <w:r>
              <w:rPr>
                <w:rFonts w:hint="eastAsia" w:cs="宋体"/>
                <w:color w:val="auto"/>
                <w:szCs w:val="21"/>
                <w:highlight w:val="none"/>
              </w:rPr>
              <w:t>本项目所属行业</w:t>
            </w:r>
          </w:p>
        </w:tc>
        <w:tc>
          <w:tcPr>
            <w:tcW w:w="7171" w:type="dxa"/>
            <w:vAlign w:val="center"/>
          </w:tcPr>
          <w:p>
            <w:pPr>
              <w:pStyle w:val="43"/>
              <w:ind w:left="60" w:leftChars="25" w:right="60" w:rightChars="25"/>
              <w:rPr>
                <w:rFonts w:cs="宋体"/>
                <w:color w:val="auto"/>
                <w:szCs w:val="21"/>
                <w:highlight w:val="none"/>
              </w:rPr>
            </w:pPr>
            <w:r>
              <w:rPr>
                <w:rFonts w:hint="eastAsia" w:cs="宋体"/>
                <w:color w:val="auto"/>
                <w:szCs w:val="21"/>
                <w:highlight w:val="none"/>
              </w:rPr>
              <w:t>本项目所属行业为工业。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cs="宋体"/>
                <w:color w:val="auto"/>
                <w:szCs w:val="21"/>
                <w:highlight w:val="none"/>
                <w:lang w:val="zh-CN"/>
              </w:rPr>
            </w:pPr>
            <w:r>
              <w:rPr>
                <w:rFonts w:hint="eastAsia" w:cs="宋体"/>
                <w:color w:val="auto"/>
                <w:szCs w:val="21"/>
                <w:highlight w:val="none"/>
                <w:lang w:val="zh-CN"/>
              </w:rPr>
              <w:t>定向采购</w:t>
            </w:r>
          </w:p>
        </w:tc>
        <w:tc>
          <w:tcPr>
            <w:tcW w:w="7171" w:type="dxa"/>
            <w:vAlign w:val="center"/>
          </w:tcPr>
          <w:p>
            <w:pPr>
              <w:pStyle w:val="43"/>
              <w:ind w:left="60" w:leftChars="25" w:right="60" w:rightChars="25"/>
              <w:rPr>
                <w:rFonts w:hint="eastAsia" w:eastAsia="宋体" w:cs="宋体"/>
                <w:color w:val="auto"/>
                <w:szCs w:val="21"/>
                <w:highlight w:val="none"/>
                <w:lang w:val="en-US" w:eastAsia="zh-CN"/>
              </w:rPr>
            </w:pPr>
            <w:r>
              <w:rPr>
                <w:rFonts w:hint="eastAsia" w:cs="宋体"/>
                <w:color w:val="auto"/>
                <w:szCs w:val="21"/>
                <w:highlight w:val="none"/>
              </w:rPr>
              <w:t>本项目为</w:t>
            </w:r>
            <w:r>
              <w:rPr>
                <w:rFonts w:hint="eastAsia" w:cs="宋体"/>
                <w:color w:val="auto"/>
                <w:szCs w:val="21"/>
                <w:highlight w:val="none"/>
                <w:lang w:val="zh-CN"/>
              </w:rPr>
              <w:t>非专门面向中小企业</w:t>
            </w:r>
            <w:r>
              <w:rPr>
                <w:rFonts w:hint="eastAsia" w:cs="宋体"/>
                <w:color w:val="auto"/>
                <w:szCs w:val="21"/>
                <w:highlight w:val="none"/>
              </w:rPr>
              <w:t>采购</w:t>
            </w:r>
            <w:r>
              <w:rPr>
                <w:rFonts w:hint="eastAsia" w:cs="宋体"/>
                <w:color w:val="auto"/>
                <w:szCs w:val="21"/>
                <w:highlight w:val="none"/>
                <w:lang w:val="zh-CN"/>
              </w:rPr>
              <w:t>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cs="宋体"/>
                <w:color w:val="auto"/>
                <w:szCs w:val="21"/>
                <w:highlight w:val="none"/>
              </w:rPr>
            </w:pPr>
            <w:r>
              <w:rPr>
                <w:rFonts w:hint="eastAsia" w:cs="宋体"/>
                <w:color w:val="auto"/>
                <w:szCs w:val="21"/>
                <w:highlight w:val="none"/>
              </w:rPr>
              <w:t>是否允许进口产品参加本次采购活动</w:t>
            </w:r>
          </w:p>
        </w:tc>
        <w:tc>
          <w:tcPr>
            <w:tcW w:w="7171" w:type="dxa"/>
          </w:tcPr>
          <w:p>
            <w:pPr>
              <w:pStyle w:val="47"/>
              <w:ind w:left="60" w:leftChars="25" w:right="60" w:rightChars="25"/>
              <w:jc w:val="both"/>
              <w:rPr>
                <w:rFonts w:cs="宋体"/>
                <w:color w:val="auto"/>
                <w:szCs w:val="21"/>
                <w:highlight w:val="none"/>
                <w:lang w:val="zh-CN"/>
              </w:rPr>
            </w:pPr>
            <w:r>
              <w:rPr>
                <w:rFonts w:hint="eastAsia" w:cs="宋体"/>
                <w:color w:val="auto"/>
                <w:szCs w:val="21"/>
                <w:highlight w:val="none"/>
              </w:rPr>
              <w:t>本项目不允许进口产品参加本次采购活动，</w:t>
            </w:r>
            <w:r>
              <w:rPr>
                <w:rFonts w:hint="eastAsia" w:cs="宋体"/>
                <w:color w:val="auto"/>
                <w:szCs w:val="21"/>
                <w:highlight w:val="none"/>
                <w:lang w:val="en-US" w:eastAsia="zh-CN"/>
              </w:rPr>
              <w:t>参照</w:t>
            </w:r>
            <w:r>
              <w:rPr>
                <w:rFonts w:hint="eastAsia" w:cs="宋体"/>
                <w:color w:val="auto"/>
                <w:szCs w:val="21"/>
                <w:highlight w:val="none"/>
                <w:lang w:val="zh-CN"/>
              </w:rPr>
              <w:t>《中华人民共和国政府采购法》第十条的规定，本项目采购本国</w:t>
            </w:r>
            <w:r>
              <w:rPr>
                <w:rFonts w:hint="eastAsia" w:cs="宋体"/>
                <w:color w:val="auto"/>
                <w:szCs w:val="21"/>
                <w:highlight w:val="none"/>
              </w:rPr>
              <w:t>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cs="宋体"/>
                <w:color w:val="auto"/>
                <w:szCs w:val="21"/>
                <w:highlight w:val="none"/>
                <w:lang w:val="zh-CN"/>
              </w:rPr>
            </w:pPr>
            <w:r>
              <w:rPr>
                <w:rFonts w:hint="eastAsia" w:cs="宋体"/>
                <w:color w:val="auto"/>
                <w:szCs w:val="21"/>
                <w:highlight w:val="none"/>
                <w:lang w:val="zh-CN"/>
              </w:rPr>
              <w:t>采购方式</w:t>
            </w:r>
          </w:p>
        </w:tc>
        <w:tc>
          <w:tcPr>
            <w:tcW w:w="7171" w:type="dxa"/>
            <w:vAlign w:val="center"/>
          </w:tcPr>
          <w:p>
            <w:pPr>
              <w:pStyle w:val="43"/>
              <w:ind w:left="60" w:leftChars="25" w:right="60" w:rightChars="25"/>
              <w:rPr>
                <w:rFonts w:cs="宋体"/>
                <w:color w:val="auto"/>
                <w:szCs w:val="21"/>
                <w:highlight w:val="none"/>
              </w:rPr>
            </w:pPr>
            <w:r>
              <w:rPr>
                <w:rFonts w:hint="eastAsia" w:cs="宋体"/>
                <w:color w:val="auto"/>
                <w:szCs w:val="21"/>
                <w:highlight w:val="none"/>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cs="宋体"/>
                <w:color w:val="auto"/>
                <w:szCs w:val="21"/>
                <w:highlight w:val="none"/>
                <w:lang w:val="zh-CN"/>
              </w:rPr>
            </w:pPr>
            <w:r>
              <w:rPr>
                <w:rFonts w:hint="eastAsia" w:cs="宋体"/>
                <w:color w:val="auto"/>
                <w:szCs w:val="21"/>
                <w:highlight w:val="none"/>
                <w:lang w:val="zh-CN"/>
              </w:rPr>
              <w:t>评标方法</w:t>
            </w:r>
          </w:p>
        </w:tc>
        <w:tc>
          <w:tcPr>
            <w:tcW w:w="7171" w:type="dxa"/>
            <w:vAlign w:val="center"/>
          </w:tcPr>
          <w:p>
            <w:pPr>
              <w:pStyle w:val="43"/>
              <w:ind w:left="60" w:leftChars="25" w:right="60" w:rightChars="25"/>
              <w:rPr>
                <w:rFonts w:cs="宋体"/>
                <w:color w:val="auto"/>
                <w:szCs w:val="21"/>
                <w:highlight w:val="none"/>
                <w:lang w:val="zh-CN"/>
              </w:rPr>
            </w:pPr>
            <w:r>
              <w:rPr>
                <w:rFonts w:hint="eastAsia" w:cs="宋体"/>
                <w:color w:val="auto"/>
                <w:szCs w:val="21"/>
                <w:highlight w:val="none"/>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topLinePunct w:val="0"/>
              <w:ind w:left="60" w:leftChars="25" w:right="60" w:rightChars="25"/>
              <w:rPr>
                <w:rFonts w:cs="宋体"/>
                <w:color w:val="auto"/>
                <w:szCs w:val="21"/>
                <w:highlight w:val="none"/>
                <w:lang w:val="zh-CN"/>
              </w:rPr>
            </w:pPr>
            <w:r>
              <w:rPr>
                <w:rFonts w:hint="eastAsia" w:cs="宋体"/>
                <w:color w:val="auto"/>
                <w:szCs w:val="21"/>
                <w:highlight w:val="none"/>
                <w:lang w:val="zh-CN"/>
              </w:rPr>
              <w:t>竞争范围</w:t>
            </w:r>
          </w:p>
        </w:tc>
        <w:tc>
          <w:tcPr>
            <w:tcW w:w="7171" w:type="dxa"/>
            <w:vAlign w:val="center"/>
          </w:tcPr>
          <w:p>
            <w:pPr>
              <w:pStyle w:val="43"/>
              <w:topLinePunct w:val="0"/>
              <w:ind w:left="60" w:leftChars="25" w:right="60" w:rightChars="25"/>
              <w:rPr>
                <w:rFonts w:hint="eastAsia" w:eastAsia="宋体" w:cs="宋体"/>
                <w:color w:val="auto"/>
                <w:szCs w:val="21"/>
                <w:highlight w:val="none"/>
                <w:lang w:val="zh-CN" w:eastAsia="zh-CN"/>
              </w:rPr>
            </w:pPr>
            <w:r>
              <w:rPr>
                <w:rFonts w:hint="eastAsia" w:cs="宋体"/>
                <w:color w:val="auto"/>
                <w:szCs w:val="21"/>
                <w:highlight w:val="none"/>
              </w:rPr>
              <w:t>公开竞争</w:t>
            </w:r>
            <w:r>
              <w:rPr>
                <w:rFonts w:hint="eastAsia"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cs="宋体"/>
                <w:color w:val="auto"/>
                <w:szCs w:val="21"/>
                <w:highlight w:val="none"/>
              </w:rPr>
            </w:pPr>
            <w:r>
              <w:rPr>
                <w:rFonts w:hint="eastAsia" w:cs="宋体"/>
                <w:color w:val="auto"/>
                <w:szCs w:val="21"/>
                <w:highlight w:val="none"/>
              </w:rPr>
              <w:t>合同定价方式</w:t>
            </w:r>
          </w:p>
          <w:p>
            <w:pPr>
              <w:pStyle w:val="47"/>
              <w:topLinePunct w:val="0"/>
              <w:ind w:left="60" w:leftChars="25" w:right="60" w:rightChars="25"/>
              <w:rPr>
                <w:rFonts w:cs="宋体"/>
                <w:color w:val="auto"/>
                <w:szCs w:val="21"/>
                <w:highlight w:val="none"/>
                <w:lang w:val="zh-CN"/>
              </w:rPr>
            </w:pPr>
            <w:r>
              <w:rPr>
                <w:rFonts w:hint="eastAsia" w:cs="宋体"/>
                <w:color w:val="auto"/>
                <w:szCs w:val="21"/>
                <w:highlight w:val="none"/>
              </w:rPr>
              <w:t>(实质性要求)</w:t>
            </w:r>
          </w:p>
        </w:tc>
        <w:tc>
          <w:tcPr>
            <w:tcW w:w="7171" w:type="dxa"/>
            <w:vAlign w:val="center"/>
          </w:tcPr>
          <w:p>
            <w:pPr>
              <w:pStyle w:val="43"/>
              <w:topLinePunct w:val="0"/>
              <w:ind w:left="60" w:leftChars="25" w:right="60" w:rightChars="25"/>
              <w:rPr>
                <w:rFonts w:cs="宋体"/>
                <w:color w:val="auto"/>
                <w:szCs w:val="21"/>
                <w:highlight w:val="none"/>
              </w:rPr>
            </w:pPr>
            <w:r>
              <w:rPr>
                <w:rFonts w:hint="eastAsia" w:cs="宋体"/>
                <w:color w:val="auto"/>
                <w:szCs w:val="21"/>
                <w:highlight w:val="none"/>
              </w:rPr>
              <w:t>固定总价。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cs="宋体"/>
                <w:color w:val="auto"/>
                <w:szCs w:val="21"/>
                <w:highlight w:val="none"/>
                <w:lang w:val="zh-CN"/>
              </w:rPr>
            </w:pPr>
            <w:r>
              <w:rPr>
                <w:rFonts w:hint="eastAsia" w:cs="宋体"/>
                <w:color w:val="auto"/>
                <w:szCs w:val="21"/>
                <w:highlight w:val="none"/>
                <w:lang w:val="zh-CN"/>
              </w:rPr>
              <w:t>合同分包</w:t>
            </w:r>
            <w:r>
              <w:rPr>
                <w:rFonts w:hint="eastAsia" w:cs="宋体"/>
                <w:color w:val="auto"/>
                <w:szCs w:val="21"/>
                <w:highlight w:val="none"/>
              </w:rPr>
              <w:t>、转包</w:t>
            </w:r>
          </w:p>
          <w:p>
            <w:pPr>
              <w:pStyle w:val="47"/>
              <w:ind w:left="60" w:leftChars="25" w:right="60" w:rightChars="25"/>
              <w:rPr>
                <w:rFonts w:cs="宋体"/>
                <w:color w:val="auto"/>
                <w:szCs w:val="21"/>
                <w:highlight w:val="none"/>
                <w:lang w:val="zh-CN"/>
              </w:rPr>
            </w:pPr>
            <w:r>
              <w:rPr>
                <w:rFonts w:hint="eastAsia" w:cs="宋体"/>
                <w:color w:val="auto"/>
                <w:szCs w:val="21"/>
                <w:highlight w:val="none"/>
              </w:rPr>
              <w:t>(实质性要求)</w:t>
            </w:r>
          </w:p>
        </w:tc>
        <w:tc>
          <w:tcPr>
            <w:tcW w:w="7171" w:type="dxa"/>
            <w:vAlign w:val="center"/>
          </w:tcPr>
          <w:p>
            <w:pPr>
              <w:pStyle w:val="43"/>
              <w:keepNext w:val="0"/>
              <w:keepLines w:val="0"/>
              <w:pageBreakBefore w:val="0"/>
              <w:widowControl w:val="0"/>
              <w:numPr>
                <w:ilvl w:val="0"/>
                <w:numId w:val="9"/>
              </w:numPr>
              <w:tabs>
                <w:tab w:val="clear" w:pos="312"/>
              </w:tabs>
              <w:kinsoku/>
              <w:wordWrap w:val="0"/>
              <w:overflowPunct/>
              <w:topLinePunct/>
              <w:autoSpaceDE/>
              <w:autoSpaceDN/>
              <w:bidi w:val="0"/>
              <w:adjustRightInd w:val="0"/>
              <w:snapToGrid w:val="0"/>
              <w:ind w:left="60" w:leftChars="25" w:right="60" w:rightChars="25"/>
              <w:textAlignment w:val="auto"/>
              <w:rPr>
                <w:rFonts w:cs="宋体"/>
                <w:color w:val="auto"/>
                <w:szCs w:val="21"/>
                <w:highlight w:val="none"/>
              </w:rPr>
            </w:pPr>
            <w:r>
              <w:rPr>
                <w:rFonts w:hint="eastAsia" w:ascii="宋体" w:hAnsi="宋体" w:eastAsia="宋体"/>
                <w:color w:val="auto"/>
                <w:highlight w:val="none"/>
                <w:lang w:val="en-US" w:eastAsia="zh-CN"/>
              </w:rPr>
              <w:t>本项目不允许供应商以合同分包形式进行投标。</w:t>
            </w:r>
          </w:p>
          <w:p>
            <w:pPr>
              <w:pStyle w:val="43"/>
              <w:keepNext w:val="0"/>
              <w:keepLines w:val="0"/>
              <w:pageBreakBefore w:val="0"/>
              <w:widowControl w:val="0"/>
              <w:numPr>
                <w:ilvl w:val="0"/>
                <w:numId w:val="9"/>
              </w:numPr>
              <w:tabs>
                <w:tab w:val="clear" w:pos="312"/>
              </w:tabs>
              <w:kinsoku/>
              <w:wordWrap w:val="0"/>
              <w:overflowPunct/>
              <w:topLinePunct/>
              <w:autoSpaceDE/>
              <w:autoSpaceDN/>
              <w:bidi w:val="0"/>
              <w:adjustRightInd w:val="0"/>
              <w:snapToGrid w:val="0"/>
              <w:ind w:left="60" w:leftChars="25" w:right="60" w:rightChars="25"/>
              <w:textAlignment w:val="auto"/>
              <w:rPr>
                <w:rFonts w:cs="宋体"/>
                <w:color w:val="auto"/>
                <w:szCs w:val="21"/>
                <w:highlight w:val="none"/>
              </w:rPr>
            </w:pPr>
            <w:r>
              <w:rPr>
                <w:rFonts w:hint="eastAsia"/>
                <w:color w:val="auto"/>
                <w:highlight w:val="none"/>
              </w:rPr>
              <w:t>本项目</w:t>
            </w:r>
            <w:r>
              <w:rPr>
                <w:rFonts w:hint="eastAsia"/>
                <w:color w:val="auto"/>
                <w:highlight w:val="none"/>
                <w:lang w:val="en-US" w:eastAsia="zh-CN"/>
              </w:rPr>
              <w:t>禁止</w:t>
            </w:r>
            <w:r>
              <w:rPr>
                <w:rFonts w:hint="eastAsia"/>
                <w:color w:val="auto"/>
                <w:highlight w:val="none"/>
              </w:rPr>
              <w:t>中标人将任何采购合同义务转包</w:t>
            </w:r>
            <w:r>
              <w:rPr>
                <w:rFonts w:hint="eastAsia"/>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cs="宋体"/>
                <w:color w:val="auto"/>
                <w:szCs w:val="21"/>
                <w:highlight w:val="none"/>
              </w:rPr>
            </w:pPr>
            <w:r>
              <w:rPr>
                <w:rFonts w:hint="eastAsia" w:cs="宋体"/>
                <w:color w:val="auto"/>
                <w:szCs w:val="21"/>
                <w:highlight w:val="none"/>
              </w:rPr>
              <w:t>联合体投标</w:t>
            </w:r>
          </w:p>
          <w:p>
            <w:pPr>
              <w:pStyle w:val="47"/>
              <w:ind w:left="60" w:leftChars="25" w:right="60" w:rightChars="25"/>
              <w:rPr>
                <w:rFonts w:cs="宋体"/>
                <w:color w:val="auto"/>
                <w:szCs w:val="21"/>
                <w:highlight w:val="none"/>
                <w:lang w:val="zh-CN"/>
              </w:rPr>
            </w:pPr>
            <w:r>
              <w:rPr>
                <w:rFonts w:hint="eastAsia" w:cs="宋体"/>
                <w:color w:val="auto"/>
                <w:szCs w:val="21"/>
                <w:highlight w:val="none"/>
              </w:rPr>
              <w:t>(实质性要求)</w:t>
            </w:r>
          </w:p>
        </w:tc>
        <w:tc>
          <w:tcPr>
            <w:tcW w:w="7171" w:type="dxa"/>
            <w:vAlign w:val="center"/>
          </w:tcPr>
          <w:p>
            <w:pPr>
              <w:pStyle w:val="43"/>
              <w:ind w:left="60" w:leftChars="25" w:right="60" w:rightChars="25"/>
              <w:rPr>
                <w:rFonts w:cs="宋体"/>
                <w:color w:val="auto"/>
                <w:szCs w:val="21"/>
                <w:highlight w:val="none"/>
                <w:lang w:val="zh-CN"/>
              </w:rPr>
            </w:pPr>
            <w:r>
              <w:rPr>
                <w:rFonts w:hint="eastAsia" w:cs="宋体"/>
                <w:color w:val="auto"/>
                <w:szCs w:val="21"/>
                <w:highlight w:val="none"/>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cs="宋体"/>
                <w:color w:val="auto"/>
                <w:szCs w:val="21"/>
                <w:highlight w:val="none"/>
              </w:rPr>
            </w:pPr>
            <w:r>
              <w:rPr>
                <w:rFonts w:hint="eastAsia" w:cs="宋体"/>
                <w:color w:val="auto"/>
                <w:szCs w:val="21"/>
                <w:highlight w:val="none"/>
              </w:rPr>
              <w:t>投标有效期</w:t>
            </w:r>
          </w:p>
          <w:p>
            <w:pPr>
              <w:pStyle w:val="47"/>
              <w:ind w:left="60" w:leftChars="25" w:right="60" w:rightChars="25"/>
              <w:rPr>
                <w:rFonts w:cs="宋体"/>
                <w:color w:val="auto"/>
                <w:szCs w:val="21"/>
                <w:highlight w:val="none"/>
                <w:lang w:val="zh-CN"/>
              </w:rPr>
            </w:pPr>
            <w:r>
              <w:rPr>
                <w:rFonts w:hint="eastAsia" w:cs="宋体"/>
                <w:color w:val="auto"/>
                <w:szCs w:val="21"/>
                <w:highlight w:val="none"/>
              </w:rPr>
              <w:t>(实质性要求)</w:t>
            </w:r>
          </w:p>
        </w:tc>
        <w:tc>
          <w:tcPr>
            <w:tcW w:w="7171" w:type="dxa"/>
            <w:vAlign w:val="center"/>
          </w:tcPr>
          <w:p>
            <w:pPr>
              <w:pStyle w:val="43"/>
              <w:ind w:left="60" w:leftChars="25" w:right="60" w:rightChars="25"/>
              <w:rPr>
                <w:rFonts w:cs="宋体"/>
                <w:color w:val="auto"/>
                <w:szCs w:val="21"/>
                <w:highlight w:val="none"/>
                <w:lang w:val="zh-CN"/>
              </w:rPr>
            </w:pPr>
            <w:r>
              <w:rPr>
                <w:rFonts w:hint="eastAsia" w:cs="宋体"/>
                <w:color w:val="auto"/>
                <w:szCs w:val="21"/>
                <w:highlight w:val="none"/>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hint="eastAsia" w:cs="宋体"/>
                <w:color w:val="auto"/>
                <w:szCs w:val="21"/>
                <w:highlight w:val="none"/>
              </w:rPr>
            </w:pPr>
            <w:r>
              <w:rPr>
                <w:rFonts w:hint="eastAsia" w:cs="宋体"/>
                <w:color w:val="auto"/>
                <w:szCs w:val="21"/>
                <w:highlight w:val="none"/>
              </w:rPr>
              <w:t>备选投标方案和</w:t>
            </w:r>
          </w:p>
          <w:p>
            <w:pPr>
              <w:pStyle w:val="47"/>
              <w:ind w:left="60" w:leftChars="25" w:right="60" w:rightChars="25"/>
              <w:rPr>
                <w:rFonts w:cs="宋体"/>
                <w:color w:val="auto"/>
                <w:szCs w:val="21"/>
                <w:highlight w:val="none"/>
              </w:rPr>
            </w:pPr>
            <w:r>
              <w:rPr>
                <w:rFonts w:hint="eastAsia" w:cs="宋体"/>
                <w:color w:val="auto"/>
                <w:szCs w:val="21"/>
                <w:highlight w:val="none"/>
              </w:rPr>
              <w:t>报价</w:t>
            </w:r>
          </w:p>
          <w:p>
            <w:pPr>
              <w:pStyle w:val="47"/>
              <w:ind w:left="60" w:leftChars="25" w:right="60" w:rightChars="25"/>
              <w:rPr>
                <w:rFonts w:cs="宋体"/>
                <w:color w:val="auto"/>
                <w:szCs w:val="21"/>
                <w:highlight w:val="none"/>
                <w:lang w:val="zh-CN"/>
              </w:rPr>
            </w:pPr>
            <w:r>
              <w:rPr>
                <w:rFonts w:hint="eastAsia" w:cs="宋体"/>
                <w:color w:val="auto"/>
                <w:szCs w:val="21"/>
                <w:highlight w:val="none"/>
              </w:rPr>
              <w:t>(实质性要求)</w:t>
            </w:r>
          </w:p>
        </w:tc>
        <w:tc>
          <w:tcPr>
            <w:tcW w:w="7171" w:type="dxa"/>
            <w:vAlign w:val="center"/>
          </w:tcPr>
          <w:p>
            <w:pPr>
              <w:pStyle w:val="43"/>
              <w:ind w:left="60" w:leftChars="25" w:right="60" w:rightChars="25"/>
              <w:rPr>
                <w:rFonts w:cs="宋体"/>
                <w:color w:val="auto"/>
                <w:szCs w:val="21"/>
                <w:highlight w:val="none"/>
                <w:lang w:val="zh-CN"/>
              </w:rPr>
            </w:pPr>
            <w:r>
              <w:rPr>
                <w:rFonts w:hint="eastAsia" w:cs="宋体"/>
                <w:color w:val="auto"/>
                <w:szCs w:val="21"/>
                <w:highlight w:val="none"/>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cs="宋体"/>
                <w:color w:val="auto"/>
                <w:szCs w:val="21"/>
                <w:highlight w:val="none"/>
              </w:rPr>
            </w:pPr>
            <w:r>
              <w:rPr>
                <w:rFonts w:hint="eastAsia" w:cs="宋体"/>
                <w:color w:val="auto"/>
                <w:szCs w:val="21"/>
                <w:highlight w:val="none"/>
              </w:rPr>
              <w:t>质量要求、履约验收</w:t>
            </w:r>
          </w:p>
          <w:p>
            <w:pPr>
              <w:pStyle w:val="47"/>
              <w:ind w:left="60" w:leftChars="25" w:right="60" w:rightChars="25"/>
              <w:rPr>
                <w:rFonts w:hint="eastAsia" w:ascii="宋体" w:hAnsi="宋体" w:eastAsia="宋体" w:cs="宋体"/>
                <w:color w:val="auto"/>
                <w:kern w:val="2"/>
                <w:sz w:val="21"/>
                <w:szCs w:val="21"/>
                <w:highlight w:val="none"/>
                <w:lang w:val="en-US" w:eastAsia="zh-CN" w:bidi="ar-SA"/>
              </w:rPr>
            </w:pPr>
            <w:r>
              <w:rPr>
                <w:rFonts w:hint="eastAsia" w:cs="宋体"/>
                <w:color w:val="auto"/>
                <w:szCs w:val="21"/>
                <w:highlight w:val="none"/>
              </w:rPr>
              <w:t>(实质性要求)</w:t>
            </w:r>
          </w:p>
        </w:tc>
        <w:tc>
          <w:tcPr>
            <w:tcW w:w="7171" w:type="dxa"/>
            <w:vAlign w:val="center"/>
          </w:tcPr>
          <w:p>
            <w:pPr>
              <w:pStyle w:val="43"/>
              <w:numPr>
                <w:ilvl w:val="0"/>
                <w:numId w:val="10"/>
              </w:numPr>
              <w:ind w:left="60" w:leftChars="25" w:right="60" w:rightChars="25" w:firstLine="0"/>
              <w:rPr>
                <w:rFonts w:cs="宋体"/>
                <w:color w:val="auto"/>
                <w:szCs w:val="21"/>
                <w:highlight w:val="none"/>
              </w:rPr>
            </w:pPr>
            <w:r>
              <w:rPr>
                <w:rFonts w:hint="eastAsia" w:cs="宋体"/>
                <w:color w:val="auto"/>
                <w:szCs w:val="21"/>
                <w:highlight w:val="none"/>
              </w:rPr>
              <w:t>质量要求：符合或优于国家相关标准、行业标准、地方标准或者其他标准、规范要求；</w:t>
            </w:r>
          </w:p>
          <w:p>
            <w:pPr>
              <w:pStyle w:val="43"/>
              <w:numPr>
                <w:ilvl w:val="0"/>
                <w:numId w:val="10"/>
              </w:numPr>
              <w:ind w:left="60" w:leftChars="25" w:right="60" w:rightChars="25" w:firstLine="0" w:firstLineChars="0"/>
              <w:rPr>
                <w:rFonts w:hint="eastAsia" w:ascii="宋体" w:hAnsi="宋体" w:eastAsia="宋体" w:cs="宋体"/>
                <w:snapToGrid w:val="0"/>
                <w:color w:val="auto"/>
                <w:kern w:val="2"/>
                <w:sz w:val="21"/>
                <w:szCs w:val="21"/>
                <w:highlight w:val="none"/>
                <w:lang w:val="en-US" w:eastAsia="zh-CN" w:bidi="ar-SA"/>
              </w:rPr>
            </w:pPr>
            <w:r>
              <w:rPr>
                <w:rFonts w:hint="eastAsia" w:cs="宋体"/>
                <w:color w:val="auto"/>
                <w:szCs w:val="21"/>
                <w:highlight w:val="none"/>
              </w:rPr>
              <w:t>履约验收：中标人与采购人应</w:t>
            </w:r>
            <w:r>
              <w:rPr>
                <w:rFonts w:hint="eastAsia" w:cs="宋体"/>
                <w:color w:val="auto"/>
                <w:szCs w:val="21"/>
                <w:highlight w:val="none"/>
                <w:lang w:val="en-US" w:eastAsia="zh-CN"/>
              </w:rPr>
              <w:t>参照</w:t>
            </w:r>
            <w:r>
              <w:rPr>
                <w:rFonts w:hint="eastAsia" w:cs="宋体"/>
                <w:color w:val="auto"/>
                <w:szCs w:val="21"/>
                <w:highlight w:val="none"/>
              </w:rPr>
              <w:t>《财政部关于进一步加强政府采购需求和履约验收管理的指导意见》(财库〔2016〕205号)、《政府采购需求管理办法》(财库〔2021〕22号)及招标文件相关规定组织验收。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rPr>
            </w:pPr>
          </w:p>
        </w:tc>
        <w:tc>
          <w:tcPr>
            <w:tcW w:w="2009" w:type="dxa"/>
            <w:vAlign w:val="center"/>
          </w:tcPr>
          <w:p>
            <w:pPr>
              <w:pStyle w:val="47"/>
              <w:ind w:left="60" w:leftChars="25" w:right="60" w:rightChars="25"/>
              <w:rPr>
                <w:rFonts w:cs="宋体"/>
                <w:color w:val="auto"/>
                <w:szCs w:val="21"/>
                <w:highlight w:val="none"/>
              </w:rPr>
            </w:pPr>
            <w:r>
              <w:rPr>
                <w:rFonts w:hint="eastAsia" w:cs="宋体"/>
                <w:color w:val="auto"/>
                <w:szCs w:val="21"/>
                <w:highlight w:val="none"/>
              </w:rPr>
              <w:t>现场考察、标前</w:t>
            </w:r>
          </w:p>
          <w:p>
            <w:pPr>
              <w:pStyle w:val="47"/>
              <w:ind w:left="60" w:leftChars="25" w:right="60" w:rightChars="25"/>
              <w:rPr>
                <w:rFonts w:cs="宋体"/>
                <w:color w:val="auto"/>
                <w:szCs w:val="21"/>
                <w:highlight w:val="none"/>
              </w:rPr>
            </w:pPr>
            <w:r>
              <w:rPr>
                <w:rFonts w:hint="eastAsia" w:cs="宋体"/>
                <w:color w:val="auto"/>
                <w:szCs w:val="21"/>
                <w:highlight w:val="none"/>
              </w:rPr>
              <w:t>答疑会</w:t>
            </w:r>
          </w:p>
        </w:tc>
        <w:tc>
          <w:tcPr>
            <w:tcW w:w="7171" w:type="dxa"/>
            <w:vAlign w:val="center"/>
          </w:tcPr>
          <w:p>
            <w:pPr>
              <w:pStyle w:val="43"/>
              <w:keepNext w:val="0"/>
              <w:keepLines w:val="0"/>
              <w:pageBreakBefore w:val="0"/>
              <w:widowControl w:val="0"/>
              <w:numPr>
                <w:ilvl w:val="0"/>
                <w:numId w:val="11"/>
              </w:numPr>
              <w:tabs>
                <w:tab w:val="clear" w:pos="312"/>
              </w:tabs>
              <w:kinsoku/>
              <w:wordWrap w:val="0"/>
              <w:overflowPunct/>
              <w:topLinePunct/>
              <w:autoSpaceDE/>
              <w:autoSpaceDN/>
              <w:bidi w:val="0"/>
              <w:adjustRightInd w:val="0"/>
              <w:snapToGrid w:val="0"/>
              <w:ind w:left="60" w:leftChars="25" w:right="60" w:rightChars="25"/>
              <w:textAlignment w:val="auto"/>
              <w:rPr>
                <w:rFonts w:cs="宋体"/>
                <w:color w:val="auto"/>
                <w:szCs w:val="21"/>
                <w:highlight w:val="none"/>
              </w:rPr>
            </w:pPr>
            <w:r>
              <w:rPr>
                <w:rFonts w:hint="eastAsia" w:cs="宋体"/>
                <w:color w:val="auto"/>
                <w:szCs w:val="21"/>
                <w:highlight w:val="none"/>
              </w:rPr>
              <w:t>采购人、采购代理机构可以视采购项目的具体情况，组织投标人进行现场考察或开标前答疑会，但不得单独或分别组织只有一个投标人参加的现场考察和答疑会。若组织</w:t>
            </w:r>
            <w:r>
              <w:rPr>
                <w:rFonts w:hint="eastAsia" w:cs="宋体"/>
                <w:color w:val="auto"/>
                <w:szCs w:val="21"/>
                <w:highlight w:val="none"/>
                <w:lang w:val="en-US" w:eastAsia="zh-CN"/>
              </w:rPr>
              <w:t xml:space="preserve"> </w:t>
            </w:r>
            <w:r>
              <w:rPr>
                <w:rFonts w:hint="eastAsia" w:cs="宋体"/>
                <w:color w:val="auto"/>
                <w:szCs w:val="21"/>
                <w:highlight w:val="none"/>
              </w:rPr>
              <w:t>答疑会和现场考察以采购代理机构通知为准。</w:t>
            </w:r>
          </w:p>
          <w:p>
            <w:pPr>
              <w:pStyle w:val="43"/>
              <w:keepNext w:val="0"/>
              <w:keepLines w:val="0"/>
              <w:pageBreakBefore w:val="0"/>
              <w:widowControl w:val="0"/>
              <w:numPr>
                <w:ilvl w:val="0"/>
                <w:numId w:val="11"/>
              </w:numPr>
              <w:tabs>
                <w:tab w:val="clear" w:pos="312"/>
              </w:tabs>
              <w:kinsoku/>
              <w:wordWrap w:val="0"/>
              <w:overflowPunct/>
              <w:topLinePunct/>
              <w:autoSpaceDE/>
              <w:autoSpaceDN/>
              <w:bidi w:val="0"/>
              <w:adjustRightInd w:val="0"/>
              <w:snapToGrid w:val="0"/>
              <w:ind w:left="60" w:leftChars="25" w:right="60" w:rightChars="25"/>
              <w:textAlignment w:val="auto"/>
              <w:rPr>
                <w:rFonts w:cs="宋体"/>
                <w:color w:val="auto"/>
                <w:szCs w:val="21"/>
                <w:highlight w:val="none"/>
              </w:rPr>
            </w:pPr>
            <w:r>
              <w:rPr>
                <w:rFonts w:hint="eastAsia"/>
                <w:color w:val="auto"/>
                <w:highlight w:val="none"/>
                <w:lang w:eastAsia="zh-CN"/>
              </w:rPr>
              <w:t>投标人</w:t>
            </w:r>
            <w:r>
              <w:rPr>
                <w:rFonts w:hint="eastAsia"/>
                <w:color w:val="auto"/>
                <w:highlight w:val="none"/>
                <w:lang w:val="en-US" w:eastAsia="zh-CN"/>
              </w:rPr>
              <w:t>参加</w:t>
            </w:r>
            <w:r>
              <w:rPr>
                <w:rFonts w:hint="eastAsia"/>
                <w:color w:val="auto"/>
                <w:highlight w:val="none"/>
              </w:rPr>
              <w:t>答疑会</w:t>
            </w:r>
            <w:r>
              <w:rPr>
                <w:rFonts w:hint="eastAsia"/>
                <w:color w:val="auto"/>
                <w:highlight w:val="none"/>
                <w:lang w:val="en-US" w:eastAsia="zh-CN"/>
              </w:rPr>
              <w:t>和</w:t>
            </w:r>
            <w:r>
              <w:rPr>
                <w:rFonts w:hint="eastAsia"/>
                <w:color w:val="auto"/>
                <w:highlight w:val="none"/>
              </w:rPr>
              <w:t>现场考察所发生的一切费用由</w:t>
            </w:r>
            <w:r>
              <w:rPr>
                <w:rFonts w:hint="eastAsia"/>
                <w:color w:val="auto"/>
                <w:highlight w:val="none"/>
                <w:lang w:eastAsia="zh-CN"/>
              </w:rPr>
              <w:t>投标人</w:t>
            </w:r>
            <w:r>
              <w:rPr>
                <w:rFonts w:hint="eastAsia"/>
                <w:color w:val="auto"/>
                <w:highlight w:val="none"/>
                <w:lang w:val="en-US" w:eastAsia="zh-CN"/>
              </w:rPr>
              <w:t>自行</w:t>
            </w:r>
            <w:r>
              <w:rPr>
                <w:rFonts w:hint="eastAsia"/>
                <w:color w:val="auto"/>
                <w:highlight w:val="none"/>
              </w:rPr>
              <w:t>承担</w:t>
            </w:r>
            <w:r>
              <w:rPr>
                <w:rFonts w:hint="eastAsia"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投标保证金</w:t>
            </w:r>
          </w:p>
          <w:p>
            <w:pPr>
              <w:pStyle w:val="47"/>
              <w:ind w:left="60" w:leftChars="25" w:right="60" w:rightChars="25"/>
              <w:rPr>
                <w:rFonts w:cs="宋体"/>
                <w:color w:val="auto"/>
                <w:szCs w:val="21"/>
                <w:highlight w:val="none"/>
                <w:lang w:val="zh-CN"/>
              </w:rPr>
            </w:pPr>
            <w:r>
              <w:rPr>
                <w:rFonts w:hint="eastAsia" w:ascii="宋体" w:hAnsi="宋体" w:eastAsia="宋体" w:cs="宋体"/>
                <w:color w:val="auto"/>
                <w:szCs w:val="21"/>
                <w:highlight w:val="none"/>
                <w:lang w:val="zh-CN"/>
              </w:rPr>
              <w:t>(实质性要求)</w:t>
            </w:r>
          </w:p>
        </w:tc>
        <w:tc>
          <w:tcPr>
            <w:tcW w:w="7171" w:type="dxa"/>
            <w:vAlign w:val="center"/>
          </w:tcPr>
          <w:p>
            <w:pPr>
              <w:pStyle w:val="43"/>
              <w:ind w:left="60" w:leftChars="25" w:right="60" w:rightChars="25"/>
              <w:rPr>
                <w:rFonts w:hint="eastAsia" w:ascii="宋体" w:hAnsi="宋体" w:eastAsia="宋体" w:cs="宋体"/>
                <w:color w:val="auto"/>
                <w:szCs w:val="21"/>
                <w:highlight w:val="none"/>
              </w:rPr>
            </w:pPr>
            <w:r>
              <w:rPr>
                <w:rFonts w:hint="eastAsia" w:ascii="宋体" w:hAnsi="宋体" w:eastAsia="宋体" w:cs="宋体"/>
                <w:color w:val="auto"/>
                <w:szCs w:val="21"/>
                <w:highlight w:val="none"/>
              </w:rPr>
              <w:t>金    额：人民币</w:t>
            </w:r>
            <w:r>
              <w:rPr>
                <w:rFonts w:hint="eastAsia" w:cs="宋体"/>
                <w:color w:val="auto"/>
                <w:szCs w:val="21"/>
                <w:highlight w:val="none"/>
                <w:lang w:val="en-US" w:eastAsia="zh-CN"/>
              </w:rPr>
              <w:t>30</w:t>
            </w:r>
            <w:r>
              <w:rPr>
                <w:rFonts w:hint="eastAsia" w:ascii="宋体" w:hAnsi="宋体" w:eastAsia="宋体" w:cs="宋体"/>
                <w:color w:val="auto"/>
                <w:szCs w:val="21"/>
                <w:highlight w:val="none"/>
              </w:rPr>
              <w:t>000元整(大写人民币</w:t>
            </w:r>
            <w:r>
              <w:rPr>
                <w:rFonts w:hint="eastAsia" w:cs="宋体"/>
                <w:color w:val="auto"/>
                <w:szCs w:val="21"/>
                <w:highlight w:val="none"/>
                <w:lang w:val="en-US" w:eastAsia="zh-CN"/>
              </w:rPr>
              <w:t>叁万</w:t>
            </w:r>
            <w:r>
              <w:rPr>
                <w:rFonts w:hint="eastAsia" w:ascii="宋体" w:hAnsi="宋体" w:eastAsia="宋体" w:cs="宋体"/>
                <w:color w:val="auto"/>
                <w:szCs w:val="21"/>
                <w:highlight w:val="none"/>
              </w:rPr>
              <w:t>元整)。</w:t>
            </w:r>
          </w:p>
          <w:p>
            <w:pPr>
              <w:pStyle w:val="43"/>
              <w:ind w:left="60" w:leftChars="25" w:right="60" w:rightChars="25"/>
              <w:rPr>
                <w:rFonts w:hint="eastAsia" w:ascii="宋体" w:hAnsi="宋体" w:eastAsia="宋体" w:cs="宋体"/>
                <w:color w:val="auto"/>
                <w:szCs w:val="21"/>
                <w:highlight w:val="none"/>
              </w:rPr>
            </w:pPr>
            <w:r>
              <w:rPr>
                <w:rFonts w:hint="eastAsia" w:ascii="宋体" w:hAnsi="宋体" w:eastAsia="宋体" w:cs="宋体"/>
                <w:color w:val="auto"/>
                <w:szCs w:val="21"/>
                <w:highlight w:val="none"/>
              </w:rPr>
              <w:t>交款方式：</w:t>
            </w:r>
            <w:r>
              <w:rPr>
                <w:rFonts w:hint="eastAsia" w:ascii="宋体" w:hAnsi="宋体" w:eastAsia="宋体" w:cs="宋体"/>
                <w:color w:val="auto"/>
                <w:szCs w:val="21"/>
                <w:highlight w:val="none"/>
                <w:lang w:val="zh-CN"/>
              </w:rPr>
              <w:t>以支票、汇票、本票或者</w:t>
            </w:r>
            <w:r>
              <w:rPr>
                <w:rFonts w:hint="eastAsia" w:ascii="宋体" w:hAnsi="宋体" w:eastAsia="宋体" w:cs="宋体"/>
                <w:color w:val="auto"/>
                <w:szCs w:val="21"/>
                <w:highlight w:val="none"/>
              </w:rPr>
              <w:t>金融机构</w:t>
            </w:r>
            <w:r>
              <w:rPr>
                <w:rFonts w:hint="eastAsia" w:ascii="宋体" w:hAnsi="宋体" w:eastAsia="宋体" w:cs="宋体"/>
                <w:color w:val="auto"/>
                <w:szCs w:val="21"/>
                <w:highlight w:val="none"/>
                <w:lang w:val="zh-CN"/>
              </w:rPr>
              <w:t>出具的保函</w:t>
            </w:r>
            <w:r>
              <w:rPr>
                <w:rFonts w:hint="eastAsia" w:ascii="宋体" w:hAnsi="宋体" w:eastAsia="宋体" w:cs="宋体"/>
                <w:color w:val="auto"/>
                <w:szCs w:val="21"/>
                <w:highlight w:val="none"/>
              </w:rPr>
              <w:t>等</w:t>
            </w:r>
            <w:r>
              <w:rPr>
                <w:rFonts w:hint="eastAsia" w:ascii="宋体" w:hAnsi="宋体" w:eastAsia="宋体" w:cs="宋体"/>
                <w:color w:val="auto"/>
                <w:szCs w:val="21"/>
                <w:highlight w:val="none"/>
                <w:lang w:val="zh-CN"/>
              </w:rPr>
              <w:t>非现金形式</w:t>
            </w:r>
            <w:r>
              <w:rPr>
                <w:rFonts w:hint="eastAsia" w:ascii="宋体" w:hAnsi="宋体" w:eastAsia="宋体" w:cs="宋体"/>
                <w:color w:val="auto"/>
                <w:szCs w:val="21"/>
                <w:highlight w:val="none"/>
              </w:rPr>
              <w:t>提交</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包括网银转账，电汇等方式</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所有递交方式均以到账时间为准(若以保函方式提交的，必须在保证金交款截止时间前将加盖供应商公章的保函复印件提交至采购代理机构登记)[</w:t>
            </w:r>
            <w:r>
              <w:rPr>
                <w:rFonts w:hint="eastAsia" w:ascii="宋体" w:hAnsi="宋体" w:eastAsia="宋体" w:cs="宋体"/>
                <w:color w:val="auto"/>
                <w:szCs w:val="21"/>
                <w:highlight w:val="none"/>
                <w:lang w:val="zh-CN"/>
              </w:rPr>
              <w:t>须注明项目编号，以便登记、查询，</w:t>
            </w:r>
            <w:r>
              <w:rPr>
                <w:rFonts w:hint="eastAsia" w:ascii="宋体" w:hAnsi="宋体" w:eastAsia="宋体" w:cs="宋体"/>
                <w:color w:val="auto"/>
                <w:szCs w:val="21"/>
                <w:highlight w:val="none"/>
              </w:rPr>
              <w:t>未注明不影响其有效性]。</w:t>
            </w:r>
          </w:p>
          <w:p>
            <w:pPr>
              <w:pStyle w:val="43"/>
              <w:ind w:left="60" w:leftChars="25" w:right="60" w:rightChars="25"/>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收款单位：四川乾新招投标代理有限公司</w:t>
            </w:r>
          </w:p>
          <w:p>
            <w:pPr>
              <w:pStyle w:val="43"/>
              <w:ind w:left="60" w:leftChars="25" w:right="60" w:rightChars="25"/>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开 户 行：招商银行成都分行天府大道支行</w:t>
            </w:r>
          </w:p>
          <w:p>
            <w:pPr>
              <w:pStyle w:val="43"/>
              <w:ind w:left="60" w:leftChars="25" w:right="60" w:rightChars="25"/>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银行账号：1289 0768 1810 101</w:t>
            </w:r>
          </w:p>
          <w:p>
            <w:pPr>
              <w:pStyle w:val="43"/>
              <w:ind w:left="60" w:leftChars="25" w:right="60" w:rightChars="25"/>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交款截止时间：</w:t>
            </w:r>
            <w:r>
              <w:rPr>
                <w:rFonts w:hint="eastAsia" w:ascii="宋体" w:hAnsi="宋体" w:eastAsia="宋体" w:cs="宋体"/>
                <w:color w:val="auto"/>
                <w:szCs w:val="21"/>
                <w:highlight w:val="none"/>
                <w:lang w:val="zh-CN"/>
              </w:rPr>
              <w:t>本项目</w:t>
            </w:r>
            <w:r>
              <w:rPr>
                <w:rFonts w:hint="eastAsia" w:ascii="宋体" w:hAnsi="宋体" w:eastAsia="宋体" w:cs="宋体"/>
                <w:color w:val="auto"/>
                <w:szCs w:val="21"/>
                <w:highlight w:val="none"/>
              </w:rPr>
              <w:t>投标时间</w:t>
            </w:r>
            <w:r>
              <w:rPr>
                <w:rFonts w:hint="eastAsia" w:ascii="宋体" w:hAnsi="宋体" w:eastAsia="宋体" w:cs="宋体"/>
                <w:color w:val="auto"/>
                <w:szCs w:val="21"/>
                <w:highlight w:val="none"/>
                <w:lang w:val="zh-CN"/>
              </w:rPr>
              <w:t>前(</w:t>
            </w:r>
            <w:r>
              <w:rPr>
                <w:rFonts w:hint="eastAsia" w:ascii="宋体" w:hAnsi="宋体" w:eastAsia="宋体" w:cs="宋体"/>
                <w:color w:val="auto"/>
                <w:szCs w:val="21"/>
                <w:highlight w:val="none"/>
              </w:rPr>
              <w:t>投标保证金</w:t>
            </w:r>
            <w:r>
              <w:rPr>
                <w:rFonts w:hint="eastAsia" w:ascii="宋体" w:hAnsi="宋体" w:eastAsia="宋体" w:cs="宋体"/>
                <w:color w:val="auto"/>
                <w:szCs w:val="21"/>
                <w:highlight w:val="none"/>
                <w:lang w:val="zh-CN"/>
              </w:rPr>
              <w:t>的交纳以到账时间为准)</w:t>
            </w:r>
          </w:p>
          <w:p>
            <w:pPr>
              <w:pStyle w:val="43"/>
              <w:ind w:left="60" w:leftChars="25" w:right="60" w:rightChars="25"/>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1.供应商必须按照上述交款方式及指定银行账号进行办理，交款账户名称须与供应商名称一致，鼓励以保函代替保证金。若以其他交款方式(如现金存款方式)或非指定银行账号办理的一律不予接受，将被视为无效。</w:t>
            </w:r>
          </w:p>
          <w:p>
            <w:pPr>
              <w:pStyle w:val="43"/>
              <w:ind w:left="60" w:leftChars="25" w:right="60" w:rightChars="25"/>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2.投标保证金的其他相关规定详见第二章第四节(八)条</w:t>
            </w:r>
            <w:r>
              <w:rPr>
                <w:rFonts w:hint="eastAsia" w:ascii="宋体" w:hAnsi="宋体" w:eastAsia="宋体" w:cs="宋体"/>
                <w:color w:val="auto"/>
                <w:szCs w:val="21"/>
                <w:highlight w:val="none"/>
                <w:lang w:val="zh-CN"/>
              </w:rPr>
              <w:t>。</w:t>
            </w:r>
          </w:p>
          <w:p>
            <w:pPr>
              <w:pStyle w:val="43"/>
              <w:ind w:left="60" w:leftChars="25" w:right="60" w:rightChars="25"/>
              <w:rPr>
                <w:rFonts w:cs="宋体"/>
                <w:color w:val="auto"/>
                <w:szCs w:val="21"/>
                <w:highlight w:val="none"/>
                <w:lang w:val="zh-CN"/>
              </w:rPr>
            </w:pPr>
            <w:r>
              <w:rPr>
                <w:rFonts w:hint="eastAsia" w:ascii="宋体" w:hAnsi="宋体" w:eastAsia="宋体" w:cs="宋体"/>
                <w:color w:val="auto"/>
                <w:szCs w:val="21"/>
                <w:highlight w:val="none"/>
              </w:rPr>
              <w:t>保证金查询电话：</w:t>
            </w:r>
            <w:r>
              <w:rPr>
                <w:rFonts w:hint="eastAsia" w:ascii="宋体" w:hAnsi="宋体" w:eastAsia="宋体" w:cs="宋体"/>
                <w:color w:val="auto"/>
                <w:szCs w:val="21"/>
                <w:highlight w:val="none"/>
                <w:lang w:val="zh-CN"/>
              </w:rPr>
              <w:t>028-84638556、84882960转6</w:t>
            </w:r>
            <w:r>
              <w:rPr>
                <w:rFonts w:hint="eastAsia" w:ascii="宋体" w:hAnsi="宋体" w:eastAsia="宋体" w:cs="宋体"/>
                <w:color w:val="auto"/>
                <w:szCs w:val="21"/>
                <w:highlight w:val="none"/>
              </w:rPr>
              <w:t>08或609。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hint="eastAsia" w:ascii="宋体" w:hAnsi="宋体" w:eastAsia="宋体" w:cs="宋体"/>
                <w:color w:val="auto"/>
                <w:szCs w:val="21"/>
                <w:highlight w:val="none"/>
              </w:rPr>
            </w:pPr>
            <w:r>
              <w:rPr>
                <w:rFonts w:hint="eastAsia" w:ascii="宋体" w:hAnsi="宋体" w:eastAsia="宋体" w:cs="宋体"/>
                <w:color w:val="auto"/>
                <w:szCs w:val="21"/>
                <w:highlight w:val="none"/>
              </w:rPr>
              <w:t>保函</w:t>
            </w:r>
          </w:p>
          <w:p>
            <w:pPr>
              <w:pStyle w:val="47"/>
              <w:ind w:left="60" w:leftChars="25" w:right="60" w:rightChars="25"/>
              <w:rPr>
                <w:rFonts w:hint="eastAsia" w:cs="宋体"/>
                <w:color w:val="auto"/>
                <w:szCs w:val="21"/>
                <w:highlight w:val="none"/>
                <w:lang w:val="zh-CN"/>
              </w:rPr>
            </w:pPr>
            <w:r>
              <w:rPr>
                <w:rFonts w:hint="eastAsia" w:ascii="宋体" w:hAnsi="宋体" w:eastAsia="宋体" w:cs="宋体"/>
                <w:color w:val="auto"/>
                <w:szCs w:val="21"/>
                <w:highlight w:val="none"/>
                <w:lang w:val="zh-CN"/>
              </w:rPr>
              <w:t>(实质性要求)</w:t>
            </w:r>
          </w:p>
        </w:tc>
        <w:tc>
          <w:tcPr>
            <w:tcW w:w="7171" w:type="dxa"/>
            <w:vAlign w:val="center"/>
          </w:tcPr>
          <w:p>
            <w:pPr>
              <w:pStyle w:val="43"/>
              <w:ind w:left="60" w:leftChars="25" w:right="60" w:rightChars="25"/>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本招标文件中涉及的保函按以下规定执行：</w:t>
            </w:r>
          </w:p>
          <w:p>
            <w:pPr>
              <w:pStyle w:val="43"/>
              <w:ind w:left="60" w:leftChars="25" w:right="60" w:rightChars="25"/>
              <w:rPr>
                <w:rFonts w:hint="eastAsia" w:ascii="宋体" w:hAnsi="宋体" w:eastAsia="宋体" w:cs="宋体"/>
                <w:color w:val="auto"/>
                <w:szCs w:val="21"/>
                <w:highlight w:val="none"/>
              </w:rPr>
            </w:pPr>
            <w:r>
              <w:rPr>
                <w:rFonts w:hint="eastAsia" w:ascii="宋体" w:hAnsi="宋体" w:eastAsia="宋体" w:cs="宋体"/>
                <w:color w:val="auto"/>
                <w:szCs w:val="21"/>
                <w:highlight w:val="none"/>
              </w:rPr>
              <w:t>1.保函应为金融机构出具，并有详细明显的验证方法；</w:t>
            </w:r>
          </w:p>
          <w:p>
            <w:pPr>
              <w:pStyle w:val="43"/>
              <w:ind w:left="60" w:leftChars="25" w:right="60" w:rightChars="25"/>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2.保函的受益人为四川乾新招投标代理有限公司；</w:t>
            </w:r>
          </w:p>
          <w:p>
            <w:pPr>
              <w:pStyle w:val="43"/>
              <w:ind w:left="60" w:leftChars="25" w:right="60" w:rightChars="25"/>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3.保函的内容应包括：供应商名称、项目名称、项目编号、保证金金额、保函的有效期、担保内容(即：采购代理机构将不予退还投标保证金的情形，详见本招标文件第二章第四节(八)条)；</w:t>
            </w:r>
          </w:p>
          <w:p>
            <w:pPr>
              <w:pStyle w:val="43"/>
              <w:ind w:left="60" w:leftChars="25" w:right="60" w:rightChars="25"/>
              <w:rPr>
                <w:rFonts w:hint="eastAsia" w:ascii="宋体" w:hAnsi="宋体" w:eastAsia="宋体" w:cs="宋体"/>
                <w:color w:val="auto"/>
                <w:szCs w:val="21"/>
                <w:highlight w:val="none"/>
              </w:rPr>
            </w:pPr>
            <w:r>
              <w:rPr>
                <w:rFonts w:hint="eastAsia" w:ascii="宋体" w:hAnsi="宋体" w:eastAsia="宋体" w:cs="宋体"/>
                <w:color w:val="auto"/>
                <w:szCs w:val="21"/>
                <w:highlight w:val="none"/>
              </w:rPr>
              <w:t>4.保证金金额不少于《投标人须知表》中规定的金额；</w:t>
            </w:r>
          </w:p>
          <w:p>
            <w:pPr>
              <w:pStyle w:val="43"/>
              <w:ind w:left="60" w:leftChars="25" w:right="60" w:rightChars="25"/>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5.保函的有效期应不少于招标文件规定的投标有效期；</w:t>
            </w:r>
          </w:p>
          <w:p>
            <w:pPr>
              <w:pStyle w:val="43"/>
              <w:ind w:left="60" w:leftChars="25" w:right="60" w:rightChars="25"/>
              <w:rPr>
                <w:rFonts w:hint="eastAsia" w:cs="宋体"/>
                <w:color w:val="auto"/>
                <w:szCs w:val="21"/>
                <w:highlight w:val="none"/>
              </w:rPr>
            </w:pPr>
            <w:r>
              <w:rPr>
                <w:rFonts w:hint="eastAsia" w:ascii="宋体" w:hAnsi="宋体" w:eastAsia="宋体" w:cs="宋体"/>
                <w:color w:val="auto"/>
                <w:szCs w:val="21"/>
                <w:highlight w:val="none"/>
              </w:rPr>
              <w:t>6.供应商未按上述要求提供保函的</w:t>
            </w:r>
            <w:r>
              <w:rPr>
                <w:rFonts w:hint="eastAsia" w:ascii="宋体" w:hAnsi="宋体" w:eastAsia="宋体" w:cs="宋体"/>
                <w:color w:val="auto"/>
                <w:szCs w:val="21"/>
                <w:highlight w:val="none"/>
                <w:lang w:val="zh-CN"/>
              </w:rPr>
              <w:t>将被视为</w:t>
            </w:r>
            <w:r>
              <w:rPr>
                <w:rFonts w:hint="eastAsia" w:ascii="宋体" w:hAnsi="宋体" w:eastAsia="宋体" w:cs="宋体"/>
                <w:color w:val="auto"/>
                <w:szCs w:val="21"/>
                <w:highlight w:val="none"/>
              </w:rPr>
              <w:t>无效投标</w:t>
            </w:r>
            <w:r>
              <w:rPr>
                <w:rFonts w:hint="eastAsia" w:ascii="宋体" w:hAnsi="宋体" w:eastAsia="宋体" w:cs="宋体"/>
                <w:color w:val="auto"/>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cs="宋体"/>
                <w:color w:val="auto"/>
                <w:szCs w:val="21"/>
                <w:highlight w:val="none"/>
              </w:rPr>
            </w:pPr>
            <w:r>
              <w:rPr>
                <w:rFonts w:hint="eastAsia" w:cs="宋体"/>
                <w:color w:val="auto"/>
                <w:szCs w:val="21"/>
                <w:highlight w:val="none"/>
              </w:rPr>
              <w:t>低于成本价不正当竞争预防措施</w:t>
            </w:r>
          </w:p>
          <w:p>
            <w:pPr>
              <w:pStyle w:val="47"/>
              <w:ind w:left="60" w:leftChars="25" w:right="60" w:rightChars="25"/>
              <w:rPr>
                <w:rFonts w:cs="宋体"/>
                <w:color w:val="auto"/>
                <w:szCs w:val="21"/>
                <w:highlight w:val="none"/>
                <w:lang w:val="zh-CN"/>
              </w:rPr>
            </w:pPr>
            <w:r>
              <w:rPr>
                <w:rFonts w:hint="eastAsia" w:cs="宋体"/>
                <w:color w:val="auto"/>
                <w:szCs w:val="21"/>
                <w:highlight w:val="none"/>
              </w:rPr>
              <w:t>(实质性要求)</w:t>
            </w:r>
          </w:p>
        </w:tc>
        <w:tc>
          <w:tcPr>
            <w:tcW w:w="7171" w:type="dxa"/>
            <w:vAlign w:val="center"/>
          </w:tcPr>
          <w:p>
            <w:pPr>
              <w:pStyle w:val="43"/>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1.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若投标文件未附财务报告的，则还需提供完整的财务状况报告(含三表一附注)]。</w:t>
            </w:r>
          </w:p>
          <w:p>
            <w:pPr>
              <w:pStyle w:val="43"/>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2.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43"/>
              <w:numPr>
                <w:ilvl w:val="0"/>
                <w:numId w:val="0"/>
              </w:numPr>
              <w:ind w:leftChars="25" w:right="60" w:rightChars="25"/>
              <w:rPr>
                <w:rFonts w:cs="宋体"/>
                <w:color w:val="auto"/>
                <w:szCs w:val="21"/>
                <w:highlight w:val="none"/>
              </w:rPr>
            </w:pPr>
            <w:r>
              <w:rPr>
                <w:rFonts w:hint="eastAsia"/>
                <w:color w:val="auto"/>
                <w:highlight w:val="none"/>
                <w:lang w:val="en-US" w:eastAsia="zh-CN"/>
              </w:rPr>
              <w:t>3.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投标文件作为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cs="宋体"/>
                <w:color w:val="auto"/>
                <w:szCs w:val="21"/>
                <w:highlight w:val="none"/>
              </w:rPr>
            </w:pPr>
            <w:r>
              <w:rPr>
                <w:rFonts w:hint="eastAsia" w:cs="宋体"/>
                <w:color w:val="auto"/>
                <w:szCs w:val="21"/>
                <w:highlight w:val="none"/>
              </w:rPr>
              <w:t>小微企业、监狱企业、残疾人福利性单位等政策执行</w:t>
            </w:r>
          </w:p>
        </w:tc>
        <w:tc>
          <w:tcPr>
            <w:tcW w:w="7171" w:type="dxa"/>
            <w:vAlign w:val="center"/>
          </w:tcPr>
          <w:p>
            <w:pPr>
              <w:pStyle w:val="43"/>
              <w:keepNext w:val="0"/>
              <w:keepLines w:val="0"/>
              <w:pageBreakBefore w:val="0"/>
              <w:widowControl w:val="0"/>
              <w:numPr>
                <w:ilvl w:val="0"/>
                <w:numId w:val="12"/>
              </w:numPr>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rPr>
              <w:t>促进中小企业发展</w:t>
            </w:r>
            <w:r>
              <w:rPr>
                <w:rFonts w:hint="eastAsia"/>
                <w:color w:val="auto"/>
                <w:highlight w:val="none"/>
                <w:lang w:val="en-US" w:eastAsia="zh-CN"/>
              </w:rPr>
              <w:t>政策</w:t>
            </w:r>
          </w:p>
          <w:p>
            <w:pPr>
              <w:pStyle w:val="43"/>
              <w:keepNext w:val="0"/>
              <w:keepLines w:val="0"/>
              <w:pageBreakBefore w:val="0"/>
              <w:widowControl w:val="0"/>
              <w:numPr>
                <w:ilvl w:val="0"/>
                <w:numId w:val="13"/>
              </w:numPr>
              <w:tabs>
                <w:tab w:val="clear" w:pos="312"/>
              </w:tabs>
              <w:kinsoku/>
              <w:wordWrap w:val="0"/>
              <w:overflowPunct/>
              <w:topLinePunct/>
              <w:autoSpaceDE/>
              <w:autoSpaceDN/>
              <w:bidi w:val="0"/>
              <w:adjustRightInd w:val="0"/>
              <w:snapToGrid w:val="0"/>
              <w:ind w:leftChars="25" w:right="60" w:rightChars="25"/>
              <w:textAlignment w:val="auto"/>
              <w:rPr>
                <w:rFonts w:hint="eastAsia"/>
                <w:color w:val="auto"/>
                <w:highlight w:val="none"/>
                <w:lang w:val="en-US" w:eastAsia="zh-CN"/>
              </w:rPr>
            </w:pPr>
            <w:r>
              <w:rPr>
                <w:rFonts w:hint="eastAsia"/>
                <w:b/>
                <w:bCs/>
                <w:color w:val="auto"/>
                <w:highlight w:val="none"/>
                <w:lang w:val="en-US" w:eastAsia="zh-CN"/>
              </w:rPr>
              <w:t>定义：</w:t>
            </w:r>
            <w:r>
              <w:rPr>
                <w:rFonts w:hint="eastAsia"/>
                <w:color w:val="auto"/>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采购活动中视同中小企业。</w:t>
            </w:r>
          </w:p>
          <w:p>
            <w:pPr>
              <w:pStyle w:val="43"/>
              <w:keepNext w:val="0"/>
              <w:keepLines w:val="0"/>
              <w:pageBreakBefore w:val="0"/>
              <w:widowControl w:val="0"/>
              <w:numPr>
                <w:ilvl w:val="0"/>
                <w:numId w:val="13"/>
              </w:numPr>
              <w:tabs>
                <w:tab w:val="clear" w:pos="312"/>
              </w:tabs>
              <w:kinsoku/>
              <w:wordWrap w:val="0"/>
              <w:overflowPunct/>
              <w:topLinePunct/>
              <w:autoSpaceDE/>
              <w:autoSpaceDN/>
              <w:bidi w:val="0"/>
              <w:adjustRightInd w:val="0"/>
              <w:snapToGrid w:val="0"/>
              <w:ind w:leftChars="25" w:right="60" w:rightChars="25"/>
              <w:textAlignment w:val="auto"/>
              <w:rPr>
                <w:rFonts w:hint="eastAsia"/>
                <w:color w:val="auto"/>
                <w:highlight w:val="none"/>
                <w:lang w:val="en-US" w:eastAsia="zh-CN"/>
              </w:rPr>
            </w:pPr>
            <w:r>
              <w:rPr>
                <w:rFonts w:hint="eastAsia"/>
                <w:b/>
                <w:bCs/>
                <w:color w:val="auto"/>
                <w:highlight w:val="none"/>
                <w:lang w:val="en-US" w:eastAsia="zh-CN"/>
              </w:rPr>
              <w:t>适用情形：</w:t>
            </w:r>
            <w:r>
              <w:rPr>
                <w:rFonts w:hint="eastAsia"/>
                <w:color w:val="auto"/>
                <w:highlight w:val="none"/>
                <w:lang w:val="en-US" w:eastAsia="zh-CN"/>
              </w:rPr>
              <w:t>(1)在货物采购项目中，货物由中小企业制造，即货物由中小企业生产且使用该中小企业商号或者注册商标；</w:t>
            </w:r>
          </w:p>
          <w:p>
            <w:pPr>
              <w:pStyle w:val="43"/>
              <w:keepNext w:val="0"/>
              <w:keepLines w:val="0"/>
              <w:pageBreakBefore w:val="0"/>
              <w:widowControl w:val="0"/>
              <w:numPr>
                <w:ilvl w:val="0"/>
                <w:numId w:val="0"/>
              </w:numPr>
              <w:kinsoku/>
              <w:wordWrap w:val="0"/>
              <w:overflowPunct/>
              <w:topLinePunct/>
              <w:autoSpaceDE/>
              <w:autoSpaceDN/>
              <w:bidi w:val="0"/>
              <w:adjustRightInd w:val="0"/>
              <w:snapToGrid w:val="0"/>
              <w:ind w:leftChars="25" w:right="60" w:rightChars="25"/>
              <w:textAlignment w:val="auto"/>
              <w:rPr>
                <w:rFonts w:hint="eastAsia"/>
                <w:color w:val="auto"/>
                <w:highlight w:val="none"/>
                <w:lang w:val="en-US" w:eastAsia="zh-CN"/>
              </w:rPr>
            </w:pPr>
            <w:r>
              <w:rPr>
                <w:rFonts w:hint="eastAsia"/>
                <w:color w:val="auto"/>
                <w:highlight w:val="none"/>
                <w:lang w:val="en-US" w:eastAsia="zh-CN"/>
              </w:rPr>
              <w:t>(2)在货物采购项目中，供应商提供的货物既有中小企业制造货物，也有大型企业制造货物的，不享受本办法规定的中小企业扶持政策。</w:t>
            </w:r>
          </w:p>
          <w:p>
            <w:pPr>
              <w:pStyle w:val="43"/>
              <w:keepNext w:val="0"/>
              <w:keepLines w:val="0"/>
              <w:pageBreakBefore w:val="0"/>
              <w:widowControl w:val="0"/>
              <w:numPr>
                <w:ilvl w:val="0"/>
                <w:numId w:val="0"/>
              </w:numPr>
              <w:kinsoku/>
              <w:wordWrap w:val="0"/>
              <w:overflowPunct/>
              <w:topLinePunct/>
              <w:autoSpaceDE/>
              <w:autoSpaceDN/>
              <w:bidi w:val="0"/>
              <w:adjustRightInd w:val="0"/>
              <w:snapToGrid w:val="0"/>
              <w:ind w:leftChars="25" w:right="60" w:rightChars="25"/>
              <w:textAlignment w:val="auto"/>
              <w:rPr>
                <w:rFonts w:hint="eastAsia"/>
                <w:color w:val="auto"/>
                <w:highlight w:val="none"/>
                <w:lang w:val="en-US" w:eastAsia="zh-CN"/>
              </w:rPr>
            </w:pPr>
            <w:r>
              <w:rPr>
                <w:rFonts w:hint="eastAsia"/>
                <w:color w:val="auto"/>
                <w:highlight w:val="none"/>
                <w:lang w:val="en-US" w:eastAsia="zh-CN"/>
              </w:rPr>
              <w:t>注：关于中小微型企业划分标准详见附件。</w:t>
            </w:r>
          </w:p>
          <w:p>
            <w:pPr>
              <w:pStyle w:val="43"/>
              <w:keepNext w:val="0"/>
              <w:keepLines w:val="0"/>
              <w:pageBreakBefore w:val="0"/>
              <w:widowControl w:val="0"/>
              <w:numPr>
                <w:ilvl w:val="0"/>
                <w:numId w:val="13"/>
              </w:numPr>
              <w:tabs>
                <w:tab w:val="clear" w:pos="312"/>
              </w:tabs>
              <w:kinsoku/>
              <w:wordWrap w:val="0"/>
              <w:overflowPunct/>
              <w:topLinePunct/>
              <w:autoSpaceDE/>
              <w:autoSpaceDN/>
              <w:bidi w:val="0"/>
              <w:adjustRightInd w:val="0"/>
              <w:snapToGrid w:val="0"/>
              <w:ind w:leftChars="25" w:right="60" w:rightChars="25"/>
              <w:textAlignment w:val="auto"/>
              <w:rPr>
                <w:rFonts w:hint="default"/>
                <w:color w:val="auto"/>
                <w:highlight w:val="none"/>
                <w:lang w:val="en-US" w:eastAsia="zh-CN"/>
              </w:rPr>
            </w:pPr>
            <w:r>
              <w:rPr>
                <w:rFonts w:hint="eastAsia"/>
                <w:color w:val="auto"/>
                <w:highlight w:val="none"/>
                <w:lang w:val="en-US" w:eastAsia="zh-CN"/>
              </w:rPr>
              <w:t>执行方式：</w:t>
            </w:r>
          </w:p>
          <w:p>
            <w:pPr>
              <w:pStyle w:val="43"/>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spacing w:val="-8"/>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参照</w:t>
            </w:r>
            <w:r>
              <w:rPr>
                <w:rFonts w:hint="eastAsia"/>
                <w:color w:val="auto"/>
                <w:highlight w:val="none"/>
              </w:rPr>
              <w:t>关于印发《政府采购促进中小企业发展管理办法》的通知</w:t>
            </w:r>
            <w:r>
              <w:rPr>
                <w:rFonts w:hint="eastAsia"/>
                <w:color w:val="auto"/>
                <w:highlight w:val="none"/>
                <w:lang w:eastAsia="zh-CN"/>
              </w:rPr>
              <w:t>(财库〔2020〕46号)、财政部《关于进一步加大政府采购支持中小企业力度的通知》(财库〔2022〕19号)、四川省财政厅关于转发财政部《关于进一步加大政府采购支持中小企业力度的通知》的通知</w:t>
            </w:r>
            <w:r>
              <w:rPr>
                <w:rFonts w:hint="eastAsia"/>
                <w:color w:val="auto"/>
                <w:highlight w:val="none"/>
                <w:lang w:val="en-US" w:eastAsia="zh-CN"/>
              </w:rPr>
              <w:t>(</w:t>
            </w:r>
            <w:r>
              <w:rPr>
                <w:rFonts w:hint="eastAsia"/>
                <w:color w:val="auto"/>
                <w:highlight w:val="none"/>
                <w:lang w:eastAsia="zh-CN"/>
              </w:rPr>
              <w:t>川财采〔2022〕78号</w:t>
            </w:r>
            <w:r>
              <w:rPr>
                <w:rFonts w:hint="eastAsia"/>
                <w:color w:val="auto"/>
                <w:highlight w:val="none"/>
                <w:lang w:val="en-US" w:eastAsia="zh-CN"/>
              </w:rPr>
              <w:t>)</w:t>
            </w:r>
            <w:r>
              <w:rPr>
                <w:rFonts w:hint="eastAsia"/>
                <w:color w:val="auto"/>
                <w:highlight w:val="none"/>
                <w:lang w:eastAsia="zh-CN"/>
              </w:rPr>
              <w:t>、</w:t>
            </w:r>
            <w:r>
              <w:rPr>
                <w:rFonts w:hint="eastAsia"/>
                <w:color w:val="auto"/>
                <w:highlight w:val="none"/>
                <w:lang w:val="en-US" w:eastAsia="zh-CN"/>
              </w:rPr>
              <w:t>成都市财政局关于转发财政部</w:t>
            </w:r>
            <w:r>
              <w:rPr>
                <w:rFonts w:hint="eastAsia" w:cs="宋体"/>
                <w:color w:val="auto"/>
                <w:highlight w:val="none"/>
                <w:lang w:val="en-US" w:eastAsia="zh-CN"/>
              </w:rPr>
              <w:t>《关于进一步加大政府采购支持中小企业力度的通知》的通知(成财采发〔2022〕19号)</w:t>
            </w:r>
            <w:r>
              <w:rPr>
                <w:rFonts w:hint="eastAsia"/>
                <w:color w:val="auto"/>
                <w:highlight w:val="none"/>
              </w:rPr>
              <w:t>的规定，对小型和微型企业的价格给予</w:t>
            </w:r>
            <w:r>
              <w:rPr>
                <w:rFonts w:hint="eastAsia"/>
                <w:b/>
                <w:bCs/>
                <w:color w:val="auto"/>
                <w:highlight w:val="none"/>
                <w:lang w:val="en-US" w:eastAsia="zh-CN"/>
              </w:rPr>
              <w:t>10</w:t>
            </w:r>
            <w:r>
              <w:rPr>
                <w:rFonts w:hint="eastAsia"/>
                <w:b/>
                <w:bCs/>
                <w:color w:val="auto"/>
                <w:highlight w:val="none"/>
              </w:rPr>
              <w:t>%</w:t>
            </w:r>
            <w:r>
              <w:rPr>
                <w:rFonts w:hint="eastAsia"/>
                <w:color w:val="auto"/>
                <w:highlight w:val="none"/>
              </w:rPr>
              <w:t>的价格扣除，用扣除后的价格参与评审</w:t>
            </w:r>
            <w:r>
              <w:rPr>
                <w:rFonts w:hint="eastAsia"/>
                <w:color w:val="auto"/>
                <w:spacing w:val="-8"/>
                <w:highlight w:val="none"/>
              </w:rPr>
              <w:t>。</w:t>
            </w:r>
          </w:p>
          <w:p>
            <w:pPr>
              <w:pStyle w:val="43"/>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spacing w:val="-8"/>
                <w:highlight w:val="none"/>
              </w:rPr>
            </w:pPr>
            <w:r>
              <w:rPr>
                <w:rFonts w:hint="eastAsia"/>
                <w:color w:val="auto"/>
                <w:spacing w:val="-8"/>
                <w:highlight w:val="none"/>
                <w:lang w:eastAsia="zh-CN"/>
              </w:rPr>
              <w:t>(</w:t>
            </w:r>
            <w:r>
              <w:rPr>
                <w:rFonts w:hint="eastAsia"/>
                <w:color w:val="auto"/>
                <w:spacing w:val="-8"/>
                <w:highlight w:val="none"/>
                <w:lang w:val="en-US" w:eastAsia="zh-CN"/>
              </w:rPr>
              <w:t>2</w:t>
            </w:r>
            <w:r>
              <w:rPr>
                <w:rFonts w:hint="eastAsia"/>
                <w:color w:val="auto"/>
                <w:spacing w:val="-8"/>
                <w:highlight w:val="none"/>
                <w:lang w:eastAsia="zh-CN"/>
              </w:rPr>
              <w:t>)中小企业参加采购活动，应当出具《中小企业声明函》(</w:t>
            </w:r>
            <w:r>
              <w:rPr>
                <w:rFonts w:hint="eastAsia"/>
                <w:color w:val="auto"/>
                <w:spacing w:val="-8"/>
                <w:highlight w:val="none"/>
                <w:lang w:val="en-US" w:eastAsia="zh-CN"/>
              </w:rPr>
              <w:t>格式详见招标文件</w:t>
            </w:r>
            <w:r>
              <w:rPr>
                <w:rFonts w:hint="eastAsia"/>
                <w:color w:val="auto"/>
                <w:spacing w:val="-8"/>
                <w:highlight w:val="none"/>
                <w:lang w:eastAsia="zh-CN"/>
              </w:rPr>
              <w:t>)，否则不得享受相关中小企业扶持政策</w:t>
            </w:r>
            <w:r>
              <w:rPr>
                <w:rFonts w:hint="eastAsia"/>
                <w:color w:val="auto"/>
                <w:spacing w:val="-8"/>
                <w:highlight w:val="none"/>
              </w:rPr>
              <w:t>。</w:t>
            </w:r>
          </w:p>
          <w:p>
            <w:pPr>
              <w:pStyle w:val="43"/>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spacing w:val="-8"/>
                <w:highlight w:val="none"/>
                <w:lang w:val="en-US" w:eastAsia="zh-CN"/>
              </w:rPr>
            </w:pPr>
            <w:r>
              <w:rPr>
                <w:rFonts w:hint="eastAsia"/>
                <w:color w:val="auto"/>
                <w:spacing w:val="-8"/>
                <w:highlight w:val="none"/>
                <w:lang w:val="en-US" w:eastAsia="zh-CN"/>
              </w:rPr>
              <w:t>(3)投标人应当对其出具的《中小企业声明函》真实性负责，投标人出具的《中小企业声明函》内容不实的，属于提供虚假材料谋取中标。在实际操作中，投标人希望获得《办法》规定政策支持的，应从制造商处获得充分、准确的信息。对相关制造商信息了解不充分，或者不能确定相关信息真实、准确的，不建议出具《中小企业声明函》。</w:t>
            </w:r>
          </w:p>
          <w:p>
            <w:pPr>
              <w:pStyle w:val="43"/>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rPr>
            </w:pPr>
            <w:r>
              <w:rPr>
                <w:rFonts w:hint="eastAsia"/>
                <w:color w:val="auto"/>
                <w:highlight w:val="none"/>
              </w:rPr>
              <w:t>二、监狱企业价格扣除</w:t>
            </w:r>
          </w:p>
          <w:p>
            <w:pPr>
              <w:pStyle w:val="43"/>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rPr>
            </w:pPr>
            <w:r>
              <w:rPr>
                <w:rFonts w:hint="eastAsia"/>
                <w:color w:val="auto"/>
                <w:highlight w:val="none"/>
              </w:rPr>
              <w:t>1.</w:t>
            </w:r>
            <w:r>
              <w:rPr>
                <w:rFonts w:hint="eastAsia"/>
                <w:color w:val="auto"/>
                <w:highlight w:val="none"/>
                <w:lang w:val="en-US" w:eastAsia="zh-CN"/>
              </w:rPr>
              <w:t>参照</w:t>
            </w:r>
            <w:r>
              <w:rPr>
                <w:rFonts w:hint="eastAsia"/>
                <w:color w:val="auto"/>
                <w:highlight w:val="none"/>
                <w:lang w:eastAsia="zh-CN"/>
              </w:rPr>
              <w:t>《</w:t>
            </w:r>
            <w:r>
              <w:rPr>
                <w:rFonts w:hint="eastAsia"/>
                <w:color w:val="auto"/>
                <w:highlight w:val="none"/>
              </w:rPr>
              <w:t>财政部</w:t>
            </w:r>
            <w:r>
              <w:rPr>
                <w:rFonts w:hint="eastAsia"/>
                <w:color w:val="auto"/>
                <w:highlight w:val="none"/>
                <w:lang w:val="en-US" w:eastAsia="zh-CN"/>
              </w:rPr>
              <w:t xml:space="preserve"> </w:t>
            </w:r>
            <w:r>
              <w:rPr>
                <w:rFonts w:hint="eastAsia"/>
                <w:color w:val="auto"/>
                <w:highlight w:val="none"/>
              </w:rPr>
              <w:t>司法部关于政府采购支持监狱企业发展有关问题的通知</w:t>
            </w:r>
            <w:r>
              <w:rPr>
                <w:rFonts w:hint="eastAsia"/>
                <w:color w:val="auto"/>
                <w:highlight w:val="none"/>
                <w:lang w:eastAsia="zh-CN"/>
              </w:rPr>
              <w:t>》</w:t>
            </w:r>
            <w:r>
              <w:rPr>
                <w:rFonts w:hint="eastAsia"/>
                <w:color w:val="auto"/>
                <w:highlight w:val="none"/>
                <w:lang w:val="en-US" w:eastAsia="zh-CN"/>
              </w:rPr>
              <w:t>(</w:t>
            </w:r>
            <w:r>
              <w:rPr>
                <w:rFonts w:hint="eastAsia"/>
                <w:color w:val="auto"/>
                <w:highlight w:val="none"/>
              </w:rPr>
              <w:t>财库〔2014〕68号</w:t>
            </w:r>
            <w:r>
              <w:rPr>
                <w:rFonts w:hint="eastAsia"/>
                <w:color w:val="auto"/>
                <w:highlight w:val="none"/>
                <w:lang w:val="en-US" w:eastAsia="zh-CN"/>
              </w:rPr>
              <w:t>)</w:t>
            </w:r>
            <w:r>
              <w:rPr>
                <w:rFonts w:hint="eastAsia"/>
                <w:color w:val="auto"/>
                <w:highlight w:val="none"/>
              </w:rPr>
              <w:t>的规定，在</w:t>
            </w:r>
            <w:r>
              <w:rPr>
                <w:rFonts w:hint="eastAsia"/>
                <w:color w:val="auto"/>
                <w:highlight w:val="none"/>
                <w:lang w:eastAsia="zh-CN"/>
              </w:rPr>
              <w:t>采购</w:t>
            </w:r>
            <w:r>
              <w:rPr>
                <w:rFonts w:hint="eastAsia"/>
                <w:color w:val="auto"/>
                <w:highlight w:val="none"/>
              </w:rPr>
              <w:t>活动中，监狱企业视同小型、微型企业，享受预留份额、评审中价格扣除等促进中小企业发展的政策。</w:t>
            </w:r>
          </w:p>
          <w:p>
            <w:pPr>
              <w:pStyle w:val="43"/>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rPr>
            </w:pPr>
            <w:r>
              <w:rPr>
                <w:rFonts w:hint="eastAsia"/>
                <w:color w:val="auto"/>
                <w:highlight w:val="none"/>
              </w:rPr>
              <w:t>2.本项目对监狱企业</w:t>
            </w:r>
            <w:r>
              <w:rPr>
                <w:rFonts w:hint="eastAsia"/>
                <w:color w:val="auto"/>
                <w:highlight w:val="none"/>
                <w:lang w:eastAsia="zh-CN"/>
              </w:rPr>
              <w:t>参与投标</w:t>
            </w:r>
            <w:r>
              <w:rPr>
                <w:rFonts w:hint="eastAsia"/>
                <w:color w:val="auto"/>
                <w:highlight w:val="none"/>
              </w:rPr>
              <w:t>的价格给予</w:t>
            </w:r>
            <w:r>
              <w:rPr>
                <w:rFonts w:hint="eastAsia"/>
                <w:b/>
                <w:bCs/>
                <w:color w:val="auto"/>
                <w:highlight w:val="none"/>
                <w:lang w:val="en-US" w:eastAsia="zh-CN"/>
              </w:rPr>
              <w:t>10</w:t>
            </w:r>
            <w:r>
              <w:rPr>
                <w:rFonts w:hint="eastAsia"/>
                <w:b/>
                <w:bCs/>
                <w:color w:val="auto"/>
                <w:highlight w:val="none"/>
              </w:rPr>
              <w:t>%</w:t>
            </w:r>
            <w:r>
              <w:rPr>
                <w:rFonts w:hint="eastAsia"/>
                <w:color w:val="auto"/>
                <w:highlight w:val="none"/>
              </w:rPr>
              <w:t>的扣除，用扣除后的价格参与评审。</w:t>
            </w:r>
          </w:p>
          <w:p>
            <w:pPr>
              <w:pStyle w:val="43"/>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rPr>
            </w:pPr>
            <w:r>
              <w:rPr>
                <w:rFonts w:hint="eastAsia"/>
                <w:color w:val="auto"/>
                <w:highlight w:val="none"/>
              </w:rPr>
              <w:t>3.监狱企业参加</w:t>
            </w:r>
            <w:r>
              <w:rPr>
                <w:rFonts w:hint="eastAsia"/>
                <w:color w:val="auto"/>
                <w:highlight w:val="none"/>
                <w:lang w:eastAsia="zh-CN"/>
              </w:rPr>
              <w:t>采购</w:t>
            </w:r>
            <w:r>
              <w:rPr>
                <w:rFonts w:hint="eastAsia"/>
                <w:color w:val="auto"/>
                <w:highlight w:val="none"/>
              </w:rPr>
              <w:t>活动时，应当提供由省级以上监狱管理局、戒毒管理局</w:t>
            </w:r>
            <w:r>
              <w:rPr>
                <w:rFonts w:hint="eastAsia"/>
                <w:color w:val="auto"/>
                <w:highlight w:val="none"/>
                <w:lang w:eastAsia="zh-CN"/>
              </w:rPr>
              <w:t>(</w:t>
            </w:r>
            <w:r>
              <w:rPr>
                <w:rFonts w:hint="eastAsia"/>
                <w:color w:val="auto"/>
                <w:highlight w:val="none"/>
              </w:rPr>
              <w:t>含新疆生产建设兵团</w:t>
            </w:r>
            <w:r>
              <w:rPr>
                <w:rFonts w:hint="eastAsia"/>
                <w:color w:val="auto"/>
                <w:highlight w:val="none"/>
                <w:lang w:eastAsia="zh-CN"/>
              </w:rPr>
              <w:t>)</w:t>
            </w:r>
            <w:r>
              <w:rPr>
                <w:rFonts w:hint="eastAsia"/>
                <w:color w:val="auto"/>
                <w:highlight w:val="none"/>
              </w:rPr>
              <w:t>出具的属于监狱企业的证明文件。</w:t>
            </w:r>
          </w:p>
          <w:p>
            <w:pPr>
              <w:pStyle w:val="43"/>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rPr>
            </w:pPr>
            <w:r>
              <w:rPr>
                <w:rFonts w:hint="eastAsia"/>
                <w:color w:val="auto"/>
                <w:highlight w:val="none"/>
                <w:lang w:val="en-US" w:eastAsia="zh-CN"/>
              </w:rPr>
              <w:t>4.</w:t>
            </w:r>
            <w:r>
              <w:rPr>
                <w:rFonts w:hint="eastAsia"/>
                <w:color w:val="auto"/>
                <w:highlight w:val="none"/>
              </w:rPr>
              <w:t>监狱企业视同小型、微型企业</w:t>
            </w:r>
            <w:r>
              <w:rPr>
                <w:rFonts w:hint="eastAsia"/>
                <w:color w:val="auto"/>
                <w:highlight w:val="none"/>
                <w:lang w:val="en-US" w:eastAsia="zh-CN"/>
              </w:rPr>
              <w:t>，不重复享受政策。</w:t>
            </w:r>
          </w:p>
          <w:p>
            <w:pPr>
              <w:pStyle w:val="43"/>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三、残疾人福利性单位</w:t>
            </w:r>
            <w:r>
              <w:rPr>
                <w:rFonts w:hint="eastAsia"/>
                <w:color w:val="auto"/>
                <w:highlight w:val="none"/>
              </w:rPr>
              <w:t>价格扣除</w:t>
            </w:r>
          </w:p>
          <w:p>
            <w:pPr>
              <w:pStyle w:val="43"/>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1.参照《三部门联合发布关于促进残疾人就业政府采购政策的通知》(财库〔2017〕141号)的要求，在采购活动中，残疾人福利性单位视同小型、微型企业，享受预留份额、评审中价格扣除等促进中小企业发展的政策。</w:t>
            </w:r>
          </w:p>
          <w:p>
            <w:pPr>
              <w:pStyle w:val="43"/>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2.本项目对残疾人福利性单位参与投标的价格给予</w:t>
            </w:r>
            <w:r>
              <w:rPr>
                <w:rFonts w:hint="eastAsia"/>
                <w:b/>
                <w:bCs/>
                <w:color w:val="auto"/>
                <w:highlight w:val="none"/>
                <w:lang w:val="en-US" w:eastAsia="zh-CN"/>
              </w:rPr>
              <w:t>10</w:t>
            </w:r>
            <w:r>
              <w:rPr>
                <w:rFonts w:hint="eastAsia"/>
                <w:b/>
                <w:bCs/>
                <w:color w:val="auto"/>
                <w:highlight w:val="none"/>
              </w:rPr>
              <w:t>%</w:t>
            </w:r>
            <w:r>
              <w:rPr>
                <w:rFonts w:hint="eastAsia"/>
                <w:color w:val="auto"/>
                <w:highlight w:val="none"/>
                <w:lang w:val="en-US" w:eastAsia="zh-CN"/>
              </w:rPr>
              <w:t>的扣除，用扣除后的价格参与评审。</w:t>
            </w:r>
          </w:p>
          <w:p>
            <w:pPr>
              <w:pStyle w:val="43"/>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3.残疾人福利性单位参加采购活动时，应当提供本通知规定的《残疾人福利性单位声明函》。</w:t>
            </w:r>
          </w:p>
          <w:p>
            <w:pPr>
              <w:pStyle w:val="43"/>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color w:val="auto"/>
                <w:highlight w:val="none"/>
                <w:lang w:val="en-US" w:eastAsia="zh-CN"/>
              </w:rPr>
            </w:pPr>
            <w:r>
              <w:rPr>
                <w:rFonts w:hint="eastAsia"/>
                <w:color w:val="auto"/>
                <w:highlight w:val="none"/>
                <w:lang w:val="en-US" w:eastAsia="zh-CN"/>
              </w:rPr>
              <w:t>4.供应商提供的《残疾人福利性单位声明函》与事实不符的，参照《政府采购法》第七十七条第一款的规定追究法律责任。</w:t>
            </w:r>
          </w:p>
          <w:p>
            <w:pPr>
              <w:pStyle w:val="43"/>
              <w:numPr>
                <w:ilvl w:val="0"/>
                <w:numId w:val="0"/>
              </w:numPr>
              <w:ind w:leftChars="25" w:right="60" w:rightChars="25"/>
              <w:rPr>
                <w:rFonts w:cs="宋体"/>
                <w:color w:val="auto"/>
                <w:szCs w:val="21"/>
                <w:highlight w:val="none"/>
              </w:rPr>
            </w:pPr>
            <w:r>
              <w:rPr>
                <w:rFonts w:hint="eastAsia"/>
                <w:color w:val="auto"/>
                <w:highlight w:val="none"/>
                <w:lang w:val="en-US" w:eastAsia="zh-CN"/>
              </w:rPr>
              <w:t>5.残疾人福利性单位</w:t>
            </w:r>
            <w:r>
              <w:rPr>
                <w:rFonts w:hint="eastAsia"/>
                <w:color w:val="auto"/>
                <w:highlight w:val="none"/>
              </w:rPr>
              <w:t>视同</w:t>
            </w:r>
            <w:r>
              <w:rPr>
                <w:rFonts w:hint="eastAsia"/>
                <w:color w:val="auto"/>
                <w:highlight w:val="none"/>
                <w:lang w:val="en-US" w:eastAsia="zh-CN"/>
              </w:rPr>
              <w:t>小型、微型企业，不重复享受政策。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cs="宋体"/>
                <w:color w:val="auto"/>
                <w:szCs w:val="21"/>
                <w:highlight w:val="none"/>
              </w:rPr>
            </w:pPr>
            <w:r>
              <w:rPr>
                <w:rFonts w:hint="eastAsia" w:cs="宋体"/>
                <w:color w:val="auto"/>
                <w:szCs w:val="21"/>
                <w:highlight w:val="none"/>
              </w:rPr>
              <w:t>品牌或者供应商</w:t>
            </w:r>
          </w:p>
          <w:p>
            <w:pPr>
              <w:pStyle w:val="47"/>
              <w:ind w:left="60" w:leftChars="25" w:right="60" w:rightChars="25"/>
              <w:rPr>
                <w:rFonts w:cs="宋体"/>
                <w:color w:val="auto"/>
                <w:szCs w:val="21"/>
                <w:highlight w:val="none"/>
              </w:rPr>
            </w:pPr>
            <w:r>
              <w:rPr>
                <w:rFonts w:hint="eastAsia" w:cs="宋体"/>
                <w:color w:val="auto"/>
                <w:szCs w:val="21"/>
                <w:highlight w:val="none"/>
              </w:rPr>
              <w:t>(如涉及)</w:t>
            </w:r>
          </w:p>
        </w:tc>
        <w:tc>
          <w:tcPr>
            <w:tcW w:w="7171" w:type="dxa"/>
            <w:vAlign w:val="center"/>
          </w:tcPr>
          <w:p>
            <w:pPr>
              <w:pStyle w:val="43"/>
              <w:ind w:left="60" w:leftChars="25" w:right="60" w:rightChars="25"/>
              <w:rPr>
                <w:rFonts w:cs="宋体"/>
                <w:color w:val="auto"/>
                <w:szCs w:val="21"/>
                <w:highlight w:val="none"/>
              </w:rPr>
            </w:pPr>
            <w:r>
              <w:rPr>
                <w:rFonts w:hint="eastAsia" w:cs="宋体"/>
                <w:color w:val="auto"/>
                <w:szCs w:val="21"/>
                <w:highlight w:val="none"/>
              </w:rPr>
              <w:t>若采购文件涉及品牌或者供应商，其目的是为了准确清楚说明采购项目的技术标准和要求，其意思表示为“参照或相当于”该品牌或者供应商，其品牌或供应商具有可替代性。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cs="宋体"/>
                <w:color w:val="auto"/>
                <w:szCs w:val="21"/>
                <w:highlight w:val="none"/>
              </w:rPr>
            </w:pPr>
            <w:r>
              <w:rPr>
                <w:rFonts w:hint="eastAsia" w:cs="宋体"/>
                <w:color w:val="auto"/>
                <w:szCs w:val="21"/>
                <w:highlight w:val="none"/>
              </w:rPr>
              <w:t>节能产品、环境标志产品、无线局域网产品采购政策</w:t>
            </w:r>
          </w:p>
          <w:p>
            <w:pPr>
              <w:pStyle w:val="47"/>
              <w:ind w:left="60" w:leftChars="25" w:right="60" w:rightChars="25"/>
              <w:rPr>
                <w:rFonts w:cs="宋体"/>
                <w:color w:val="auto"/>
                <w:szCs w:val="21"/>
                <w:highlight w:val="none"/>
              </w:rPr>
            </w:pPr>
            <w:r>
              <w:rPr>
                <w:rFonts w:hint="eastAsia" w:cs="宋体"/>
                <w:color w:val="auto"/>
                <w:szCs w:val="21"/>
                <w:highlight w:val="none"/>
              </w:rPr>
              <w:t>(如涉及)</w:t>
            </w:r>
          </w:p>
        </w:tc>
        <w:tc>
          <w:tcPr>
            <w:tcW w:w="7171" w:type="dxa"/>
            <w:vAlign w:val="center"/>
          </w:tcPr>
          <w:p>
            <w:pPr>
              <w:pStyle w:val="43"/>
              <w:ind w:left="60" w:leftChars="25" w:right="60" w:rightChars="25"/>
              <w:rPr>
                <w:rFonts w:cs="宋体"/>
                <w:color w:val="auto"/>
                <w:szCs w:val="21"/>
                <w:highlight w:val="none"/>
              </w:rPr>
            </w:pPr>
            <w:r>
              <w:rPr>
                <w:rFonts w:hint="eastAsia" w:cs="宋体"/>
                <w:color w:val="auto"/>
                <w:szCs w:val="21"/>
                <w:highlight w:val="none"/>
              </w:rPr>
              <w:t>本项目不涉及节能产品、环境标志产品</w:t>
            </w:r>
            <w:r>
              <w:rPr>
                <w:rFonts w:hint="eastAsia" w:cs="宋体"/>
                <w:color w:val="auto"/>
                <w:szCs w:val="21"/>
                <w:highlight w:val="none"/>
                <w:lang w:eastAsia="zh-CN"/>
              </w:rPr>
              <w:t>、</w:t>
            </w:r>
            <w:r>
              <w:rPr>
                <w:rFonts w:hint="eastAsia" w:cs="宋体"/>
                <w:color w:val="auto"/>
                <w:szCs w:val="21"/>
                <w:highlight w:val="none"/>
              </w:rPr>
              <w:t>无线局域网产品，故不在招标文件中体现相关政策。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cs="宋体"/>
                <w:color w:val="auto"/>
                <w:szCs w:val="21"/>
                <w:highlight w:val="none"/>
              </w:rPr>
            </w:pPr>
            <w:r>
              <w:rPr>
                <w:rFonts w:hint="eastAsia" w:cs="宋体"/>
                <w:color w:val="auto"/>
                <w:szCs w:val="21"/>
                <w:highlight w:val="none"/>
              </w:rPr>
              <w:t>其他强制性规定</w:t>
            </w:r>
          </w:p>
          <w:p>
            <w:pPr>
              <w:pStyle w:val="47"/>
              <w:ind w:left="60" w:leftChars="25" w:right="60" w:rightChars="25"/>
              <w:rPr>
                <w:rFonts w:cs="宋体"/>
                <w:color w:val="auto"/>
                <w:szCs w:val="21"/>
                <w:highlight w:val="none"/>
              </w:rPr>
            </w:pPr>
            <w:r>
              <w:rPr>
                <w:rFonts w:hint="eastAsia" w:cs="宋体"/>
                <w:color w:val="auto"/>
                <w:szCs w:val="21"/>
                <w:highlight w:val="none"/>
              </w:rPr>
              <w:t>(如涉及时作为实质性要求)</w:t>
            </w:r>
          </w:p>
        </w:tc>
        <w:tc>
          <w:tcPr>
            <w:tcW w:w="7171" w:type="dxa"/>
            <w:vAlign w:val="center"/>
          </w:tcPr>
          <w:p>
            <w:pPr>
              <w:pStyle w:val="43"/>
              <w:ind w:left="60" w:leftChars="25" w:right="60" w:rightChars="25"/>
              <w:rPr>
                <w:rFonts w:cs="宋体"/>
                <w:color w:val="auto"/>
                <w:szCs w:val="21"/>
                <w:highlight w:val="none"/>
              </w:rPr>
            </w:pPr>
            <w:r>
              <w:rPr>
                <w:rFonts w:hint="eastAsia" w:cs="宋体"/>
                <w:color w:val="auto"/>
                <w:szCs w:val="21"/>
                <w:highlight w:val="none"/>
              </w:rPr>
              <w:t>国家或行业主管部门对采购产品的技术标准、质量标准和资格资质条件等有强制性规定的，必须符合其要求。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cs="宋体"/>
                <w:color w:val="auto"/>
                <w:szCs w:val="21"/>
                <w:highlight w:val="none"/>
              </w:rPr>
            </w:pPr>
            <w:r>
              <w:rPr>
                <w:rFonts w:hint="eastAsia" w:cs="宋体"/>
                <w:color w:val="auto"/>
                <w:szCs w:val="21"/>
                <w:highlight w:val="none"/>
                <w:lang w:val="zh-CN"/>
              </w:rPr>
              <w:t>评</w:t>
            </w:r>
            <w:r>
              <w:rPr>
                <w:rFonts w:hint="eastAsia" w:cs="宋体"/>
                <w:color w:val="auto"/>
                <w:szCs w:val="21"/>
                <w:highlight w:val="none"/>
              </w:rPr>
              <w:t>审</w:t>
            </w:r>
            <w:r>
              <w:rPr>
                <w:rFonts w:hint="eastAsia" w:cs="宋体"/>
                <w:color w:val="auto"/>
                <w:szCs w:val="21"/>
                <w:highlight w:val="none"/>
                <w:lang w:val="en-US" w:eastAsia="zh-CN"/>
              </w:rPr>
              <w:t>结果</w:t>
            </w:r>
            <w:r>
              <w:rPr>
                <w:rFonts w:hint="eastAsia" w:cs="宋体"/>
                <w:color w:val="auto"/>
                <w:szCs w:val="21"/>
                <w:highlight w:val="none"/>
                <w:lang w:val="zh-CN"/>
              </w:rPr>
              <w:t>的公告</w:t>
            </w:r>
          </w:p>
        </w:tc>
        <w:tc>
          <w:tcPr>
            <w:tcW w:w="7171" w:type="dxa"/>
            <w:vAlign w:val="center"/>
          </w:tcPr>
          <w:p>
            <w:pPr>
              <w:pStyle w:val="43"/>
              <w:numPr>
                <w:ilvl w:val="0"/>
                <w:numId w:val="0"/>
              </w:numPr>
              <w:ind w:leftChars="25" w:right="60" w:rightChars="25"/>
              <w:rPr>
                <w:rFonts w:cs="宋体"/>
                <w:color w:val="auto"/>
                <w:szCs w:val="21"/>
                <w:highlight w:val="none"/>
              </w:rPr>
            </w:pPr>
            <w:r>
              <w:rPr>
                <w:rFonts w:hint="eastAsia" w:cs="宋体"/>
                <w:color w:val="auto"/>
                <w:szCs w:val="21"/>
                <w:highlight w:val="none"/>
              </w:rPr>
              <w:t>评审结果将在</w:t>
            </w:r>
            <w:r>
              <w:rPr>
                <w:rFonts w:hint="eastAsia" w:cs="宋体"/>
                <w:color w:val="auto"/>
                <w:szCs w:val="21"/>
                <w:highlight w:val="none"/>
                <w:lang w:eastAsia="zh-CN"/>
              </w:rPr>
              <w:t>“中国招标投标公共服务平台”</w:t>
            </w:r>
            <w:r>
              <w:rPr>
                <w:rFonts w:hint="eastAsia" w:cs="宋体"/>
                <w:color w:val="auto"/>
                <w:szCs w:val="21"/>
                <w:highlight w:val="none"/>
              </w:rPr>
              <w:t>予以公告。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cs="宋体"/>
                <w:color w:val="auto"/>
                <w:szCs w:val="21"/>
                <w:highlight w:val="none"/>
              </w:rPr>
            </w:pPr>
            <w:r>
              <w:rPr>
                <w:rFonts w:hint="eastAsia" w:cs="宋体"/>
                <w:color w:val="auto"/>
                <w:szCs w:val="21"/>
                <w:highlight w:val="none"/>
              </w:rPr>
              <w:t>中标通知书领取</w:t>
            </w:r>
          </w:p>
        </w:tc>
        <w:tc>
          <w:tcPr>
            <w:tcW w:w="7171" w:type="dxa"/>
            <w:vAlign w:val="center"/>
          </w:tcPr>
          <w:p>
            <w:pPr>
              <w:pStyle w:val="43"/>
              <w:ind w:left="60" w:leftChars="25" w:right="60" w:rightChars="25"/>
              <w:rPr>
                <w:rFonts w:cs="宋体"/>
                <w:color w:val="auto"/>
                <w:szCs w:val="21"/>
                <w:highlight w:val="none"/>
              </w:rPr>
            </w:pPr>
            <w:r>
              <w:rPr>
                <w:rFonts w:hint="eastAsia" w:cs="宋体"/>
                <w:color w:val="auto"/>
                <w:szCs w:val="21"/>
                <w:highlight w:val="none"/>
              </w:rPr>
              <w:t>采购代理机构在中标人确定后2个工作日内，在</w:t>
            </w:r>
            <w:r>
              <w:rPr>
                <w:rFonts w:hint="eastAsia" w:cs="宋体"/>
                <w:color w:val="auto"/>
                <w:szCs w:val="21"/>
                <w:highlight w:val="none"/>
                <w:lang w:eastAsia="zh-CN"/>
              </w:rPr>
              <w:t>“中国招标投标公共服务平台”</w:t>
            </w:r>
            <w:r>
              <w:rPr>
                <w:rFonts w:hint="eastAsia" w:cs="宋体"/>
                <w:color w:val="auto"/>
                <w:szCs w:val="21"/>
                <w:highlight w:val="none"/>
              </w:rPr>
              <w:t>发布中标公告，同时采购代理机构将中标通知书快递至中标人。</w:t>
            </w:r>
          </w:p>
          <w:p>
            <w:pPr>
              <w:pStyle w:val="43"/>
              <w:ind w:left="60" w:leftChars="25" w:right="60" w:rightChars="25"/>
              <w:rPr>
                <w:rFonts w:cs="宋体"/>
                <w:color w:val="auto"/>
                <w:szCs w:val="21"/>
                <w:highlight w:val="none"/>
              </w:rPr>
            </w:pPr>
            <w:r>
              <w:rPr>
                <w:rFonts w:hint="eastAsia" w:cs="宋体"/>
                <w:color w:val="auto"/>
                <w:szCs w:val="21"/>
                <w:highlight w:val="none"/>
                <w:lang w:val="zh-CN"/>
              </w:rPr>
              <w:t>联系人：</w:t>
            </w:r>
            <w:r>
              <w:rPr>
                <w:rFonts w:hint="eastAsia" w:cs="宋体"/>
                <w:color w:val="auto"/>
                <w:szCs w:val="21"/>
                <w:highlight w:val="none"/>
              </w:rPr>
              <w:t>张虹</w:t>
            </w:r>
          </w:p>
          <w:p>
            <w:pPr>
              <w:pStyle w:val="43"/>
              <w:ind w:left="60" w:leftChars="25" w:right="60" w:rightChars="25"/>
              <w:rPr>
                <w:rFonts w:cs="宋体"/>
                <w:color w:val="auto"/>
                <w:szCs w:val="21"/>
                <w:highlight w:val="none"/>
              </w:rPr>
            </w:pPr>
            <w:r>
              <w:rPr>
                <w:rFonts w:hint="eastAsia" w:cs="宋体"/>
                <w:color w:val="auto"/>
                <w:szCs w:val="21"/>
                <w:highlight w:val="none"/>
                <w:lang w:val="zh-CN"/>
              </w:rPr>
              <w:t>联系电话：028-61375575、62600820、62630990转601或602</w:t>
            </w:r>
          </w:p>
          <w:p>
            <w:pPr>
              <w:pStyle w:val="43"/>
              <w:ind w:left="60" w:leftChars="25" w:right="60" w:rightChars="25"/>
              <w:rPr>
                <w:rFonts w:cs="宋体"/>
                <w:color w:val="auto"/>
                <w:szCs w:val="21"/>
                <w:highlight w:val="none"/>
              </w:rPr>
            </w:pPr>
            <w:r>
              <w:rPr>
                <w:rFonts w:hint="eastAsia" w:cs="宋体"/>
                <w:color w:val="auto"/>
                <w:szCs w:val="21"/>
                <w:highlight w:val="none"/>
                <w:lang w:val="zh-CN"/>
              </w:rPr>
              <w:t>地址：</w:t>
            </w:r>
            <w:r>
              <w:rPr>
                <w:rFonts w:hint="eastAsia" w:cs="宋体"/>
                <w:color w:val="auto"/>
                <w:szCs w:val="21"/>
                <w:highlight w:val="none"/>
              </w:rPr>
              <w:t>成都市高新区吉庆三路333号蜀都中心二期一号楼一单元401号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lang w:val="zh-CN"/>
              </w:rPr>
            </w:pPr>
          </w:p>
        </w:tc>
        <w:tc>
          <w:tcPr>
            <w:tcW w:w="2009" w:type="dxa"/>
            <w:vAlign w:val="center"/>
          </w:tcPr>
          <w:p>
            <w:pPr>
              <w:pStyle w:val="47"/>
              <w:ind w:left="60" w:leftChars="25" w:right="60" w:rightChars="25"/>
              <w:rPr>
                <w:rFonts w:cs="宋体"/>
                <w:color w:val="auto"/>
                <w:szCs w:val="21"/>
                <w:highlight w:val="none"/>
                <w:lang w:val="zh-CN"/>
              </w:rPr>
            </w:pPr>
            <w:r>
              <w:rPr>
                <w:rFonts w:hint="eastAsia" w:cs="宋体"/>
                <w:color w:val="auto"/>
                <w:szCs w:val="21"/>
                <w:highlight w:val="none"/>
              </w:rPr>
              <w:t>招标</w:t>
            </w:r>
            <w:r>
              <w:rPr>
                <w:rFonts w:hint="eastAsia" w:cs="宋体"/>
                <w:color w:val="auto"/>
                <w:szCs w:val="21"/>
                <w:highlight w:val="none"/>
                <w:lang w:val="zh-CN"/>
              </w:rPr>
              <w:t>代理</w:t>
            </w:r>
          </w:p>
          <w:p>
            <w:pPr>
              <w:pStyle w:val="47"/>
              <w:ind w:left="60" w:leftChars="25" w:right="60" w:rightChars="25"/>
              <w:rPr>
                <w:rFonts w:cs="宋体"/>
                <w:color w:val="auto"/>
                <w:szCs w:val="21"/>
                <w:highlight w:val="none"/>
              </w:rPr>
            </w:pPr>
            <w:r>
              <w:rPr>
                <w:rFonts w:hint="eastAsia" w:cs="宋体"/>
                <w:color w:val="auto"/>
                <w:szCs w:val="21"/>
                <w:highlight w:val="none"/>
                <w:lang w:val="zh-CN"/>
              </w:rPr>
              <w:t>服务费</w:t>
            </w:r>
          </w:p>
        </w:tc>
        <w:tc>
          <w:tcPr>
            <w:tcW w:w="7171" w:type="dxa"/>
            <w:vAlign w:val="center"/>
          </w:tcPr>
          <w:p>
            <w:pPr>
              <w:pStyle w:val="43"/>
              <w:ind w:left="60" w:leftChars="25" w:right="60" w:rightChars="25"/>
              <w:rPr>
                <w:rFonts w:cs="宋体"/>
                <w:color w:val="auto"/>
                <w:szCs w:val="21"/>
                <w:highlight w:val="none"/>
              </w:rPr>
            </w:pPr>
            <w:r>
              <w:rPr>
                <w:rFonts w:hint="eastAsia" w:cs="宋体"/>
                <w:color w:val="auto"/>
                <w:szCs w:val="21"/>
                <w:highlight w:val="none"/>
              </w:rPr>
              <w:t>1.招标代理服务费以成本加合理利润为原则，以</w:t>
            </w:r>
            <w:r>
              <w:rPr>
                <w:rFonts w:hint="eastAsia" w:cs="宋体"/>
                <w:color w:val="auto"/>
                <w:szCs w:val="21"/>
                <w:highlight w:val="none"/>
                <w:lang w:val="en-US" w:eastAsia="zh-CN"/>
              </w:rPr>
              <w:t>预算</w:t>
            </w:r>
            <w:r>
              <w:rPr>
                <w:rFonts w:hint="eastAsia" w:cs="宋体"/>
                <w:color w:val="auto"/>
                <w:szCs w:val="21"/>
                <w:highlight w:val="none"/>
              </w:rPr>
              <w:t>金额</w:t>
            </w:r>
            <w:r>
              <w:rPr>
                <w:rFonts w:hint="eastAsia" w:cs="宋体"/>
                <w:color w:val="auto"/>
                <w:szCs w:val="21"/>
                <w:highlight w:val="none"/>
                <w:lang w:val="en-US" w:eastAsia="zh-CN"/>
              </w:rPr>
              <w:t>(最高限价×招生人数)</w:t>
            </w:r>
            <w:r>
              <w:rPr>
                <w:rFonts w:hint="eastAsia" w:cs="宋体"/>
                <w:color w:val="auto"/>
                <w:szCs w:val="21"/>
                <w:highlight w:val="none"/>
              </w:rPr>
              <w:t>为计费基数，按照下列收费标准计算出收费基准价格后下浮20%收取。</w:t>
            </w:r>
          </w:p>
          <w:p>
            <w:pPr>
              <w:pStyle w:val="43"/>
              <w:ind w:left="60" w:leftChars="25" w:right="60" w:rightChars="25"/>
              <w:rPr>
                <w:rFonts w:cs="宋体"/>
                <w:color w:val="auto"/>
                <w:szCs w:val="21"/>
                <w:highlight w:val="none"/>
                <w:lang w:val="zh-CN"/>
              </w:rPr>
            </w:pPr>
            <w:r>
              <w:rPr>
                <w:rFonts w:hint="eastAsia" w:cs="宋体"/>
                <w:color w:val="auto"/>
                <w:szCs w:val="21"/>
                <w:highlight w:val="none"/>
              </w:rPr>
              <w:t>2</w:t>
            </w:r>
            <w:r>
              <w:rPr>
                <w:rFonts w:hint="eastAsia" w:cs="宋体"/>
                <w:color w:val="auto"/>
                <w:szCs w:val="21"/>
                <w:highlight w:val="none"/>
                <w:lang w:val="zh-CN"/>
              </w:rPr>
              <w:t>.代理服务费率标准和代理服务费计算方法</w:t>
            </w:r>
          </w:p>
          <w:tbl>
            <w:tblPr>
              <w:tblStyle w:val="23"/>
              <w:tblW w:w="5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90"/>
              <w:gridCol w:w="1180"/>
              <w:gridCol w:w="118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金额(万元)</w:t>
                  </w:r>
                  <w:r>
                    <w:rPr>
                      <w:rFonts w:hint="eastAsia" w:cs="宋体"/>
                      <w:color w:val="auto"/>
                      <w:szCs w:val="21"/>
                      <w:highlight w:val="none"/>
                    </w:rPr>
                    <w:t>/</w:t>
                  </w:r>
                  <w:r>
                    <w:rPr>
                      <w:rFonts w:hint="eastAsia" w:cs="宋体"/>
                      <w:color w:val="auto"/>
                      <w:szCs w:val="21"/>
                      <w:highlight w:val="none"/>
                      <w:lang w:val="zh-CN"/>
                    </w:rPr>
                    <w:t>类型</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货物类</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服务类</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100以下</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1.5%</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1.5%</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100－500</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1.1%</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0.8%</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500－1000</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0.8%</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0.45%</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1000－5000</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0.5%</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0.25%</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5000－10000</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0.25%</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0.1%</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10000－100000</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0.05%</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0.05%</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1000000以上</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0.01%</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0.01%</w:t>
                  </w:r>
                </w:p>
              </w:tc>
              <w:tc>
                <w:tcPr>
                  <w:tcW w:w="1180" w:type="dxa"/>
                  <w:vAlign w:val="center"/>
                </w:tcPr>
                <w:p>
                  <w:pPr>
                    <w:pStyle w:val="43"/>
                    <w:ind w:left="60" w:leftChars="25" w:right="60" w:rightChars="25"/>
                    <w:jc w:val="center"/>
                    <w:rPr>
                      <w:rFonts w:cs="宋体"/>
                      <w:color w:val="auto"/>
                      <w:szCs w:val="21"/>
                      <w:highlight w:val="none"/>
                      <w:lang w:val="zh-CN"/>
                    </w:rPr>
                  </w:pPr>
                  <w:r>
                    <w:rPr>
                      <w:rFonts w:hint="eastAsia" w:cs="宋体"/>
                      <w:color w:val="auto"/>
                      <w:szCs w:val="21"/>
                      <w:highlight w:val="none"/>
                      <w:lang w:val="zh-CN"/>
                    </w:rPr>
                    <w:t>0.01%</w:t>
                  </w:r>
                </w:p>
              </w:tc>
            </w:tr>
          </w:tbl>
          <w:p>
            <w:pPr>
              <w:pStyle w:val="43"/>
              <w:ind w:left="60" w:leftChars="25" w:right="60" w:rightChars="25"/>
              <w:rPr>
                <w:rFonts w:cs="宋体"/>
                <w:color w:val="auto"/>
                <w:szCs w:val="21"/>
                <w:highlight w:val="none"/>
                <w:lang w:val="zh-CN"/>
              </w:rPr>
            </w:pPr>
            <w:r>
              <w:rPr>
                <w:rFonts w:hint="eastAsia" w:cs="宋体"/>
                <w:color w:val="auto"/>
                <w:szCs w:val="21"/>
                <w:highlight w:val="none"/>
                <w:lang w:val="zh-CN"/>
              </w:rPr>
              <w:t>注：</w:t>
            </w:r>
          </w:p>
          <w:p>
            <w:pPr>
              <w:pStyle w:val="43"/>
              <w:ind w:left="60" w:leftChars="25" w:right="60" w:rightChars="25"/>
              <w:rPr>
                <w:rFonts w:cs="宋体"/>
                <w:color w:val="auto"/>
                <w:szCs w:val="21"/>
                <w:highlight w:val="none"/>
                <w:lang w:val="zh-CN"/>
              </w:rPr>
            </w:pPr>
            <w:r>
              <w:rPr>
                <w:rFonts w:hint="eastAsia" w:cs="宋体"/>
                <w:color w:val="auto"/>
                <w:szCs w:val="21"/>
                <w:highlight w:val="none"/>
                <w:lang w:val="zh-CN"/>
              </w:rPr>
              <w:t>(1)按本表费率计算的收费为代理服务全过程的收费基准价格。</w:t>
            </w:r>
          </w:p>
          <w:p>
            <w:pPr>
              <w:pStyle w:val="43"/>
              <w:ind w:left="60" w:leftChars="25" w:right="60" w:rightChars="25"/>
              <w:jc w:val="both"/>
              <w:rPr>
                <w:rFonts w:cs="宋体"/>
                <w:color w:val="auto"/>
                <w:szCs w:val="21"/>
                <w:highlight w:val="none"/>
                <w:lang w:val="zh-CN"/>
              </w:rPr>
            </w:pPr>
            <w:r>
              <w:rPr>
                <w:rFonts w:hint="eastAsia" w:cs="宋体"/>
                <w:color w:val="auto"/>
                <w:szCs w:val="21"/>
                <w:highlight w:val="none"/>
                <w:lang w:val="zh-CN"/>
              </w:rPr>
              <w:t>(2)本收费以单个项目为计算基础，凡单个项目收费金额低于人民币3000元，按3000元收取。</w:t>
            </w:r>
          </w:p>
          <w:p>
            <w:pPr>
              <w:pStyle w:val="43"/>
              <w:ind w:left="60" w:leftChars="25" w:right="60" w:rightChars="25"/>
              <w:jc w:val="both"/>
              <w:rPr>
                <w:rFonts w:cs="宋体"/>
                <w:color w:val="auto"/>
                <w:szCs w:val="21"/>
                <w:highlight w:val="none"/>
                <w:lang w:val="zh-CN"/>
              </w:rPr>
            </w:pPr>
            <w:r>
              <w:rPr>
                <w:rFonts w:hint="eastAsia" w:cs="宋体"/>
                <w:color w:val="auto"/>
                <w:szCs w:val="21"/>
                <w:highlight w:val="none"/>
                <w:lang w:val="zh-CN"/>
              </w:rPr>
              <w:t>(3)采购代理机构下浮比例为20%。</w:t>
            </w:r>
          </w:p>
          <w:p>
            <w:pPr>
              <w:pStyle w:val="43"/>
              <w:ind w:left="60" w:leftChars="25" w:right="60" w:rightChars="25"/>
              <w:rPr>
                <w:rFonts w:cs="宋体"/>
                <w:color w:val="auto"/>
                <w:szCs w:val="21"/>
                <w:highlight w:val="none"/>
                <w:lang w:val="zh-CN"/>
              </w:rPr>
            </w:pPr>
            <w:r>
              <w:rPr>
                <w:rFonts w:hint="eastAsia" w:cs="宋体"/>
                <w:color w:val="auto"/>
                <w:szCs w:val="21"/>
                <w:highlight w:val="none"/>
                <w:lang w:val="zh-CN"/>
              </w:rPr>
              <w:t>(</w:t>
            </w:r>
            <w:r>
              <w:rPr>
                <w:rFonts w:hint="eastAsia" w:cs="宋体"/>
                <w:color w:val="auto"/>
                <w:szCs w:val="21"/>
                <w:highlight w:val="none"/>
              </w:rPr>
              <w:t>4</w:t>
            </w:r>
            <w:r>
              <w:rPr>
                <w:rFonts w:hint="eastAsia" w:cs="宋体"/>
                <w:color w:val="auto"/>
                <w:szCs w:val="21"/>
                <w:highlight w:val="none"/>
                <w:lang w:val="zh-CN"/>
              </w:rPr>
              <w:t>)代理服务收费按差额定率累进法计算。</w:t>
            </w:r>
          </w:p>
          <w:p>
            <w:pPr>
              <w:pStyle w:val="43"/>
              <w:ind w:left="60" w:leftChars="25" w:right="60" w:rightChars="25"/>
              <w:rPr>
                <w:rFonts w:cs="宋体"/>
                <w:color w:val="auto"/>
                <w:szCs w:val="21"/>
                <w:highlight w:val="none"/>
                <w:lang w:val="zh-CN"/>
              </w:rPr>
            </w:pPr>
            <w:r>
              <w:rPr>
                <w:rFonts w:hint="eastAsia" w:cs="宋体"/>
                <w:color w:val="auto"/>
                <w:szCs w:val="21"/>
                <w:highlight w:val="none"/>
                <w:lang w:val="zh-CN"/>
              </w:rPr>
              <w:t>例如：某工程代理业务中标金额为6000万元，计算代理服务收费额如下：</w:t>
            </w:r>
          </w:p>
          <w:p>
            <w:pPr>
              <w:pStyle w:val="43"/>
              <w:ind w:left="60" w:leftChars="25" w:right="60" w:rightChars="25"/>
              <w:rPr>
                <w:rFonts w:cs="宋体"/>
                <w:color w:val="auto"/>
                <w:szCs w:val="21"/>
                <w:highlight w:val="none"/>
                <w:lang w:val="zh-CN"/>
              </w:rPr>
            </w:pPr>
            <w:r>
              <w:rPr>
                <w:rFonts w:hint="eastAsia" w:cs="宋体"/>
                <w:color w:val="auto"/>
                <w:szCs w:val="21"/>
                <w:highlight w:val="none"/>
                <w:lang w:val="zh-CN"/>
              </w:rPr>
              <w:t>100万元×1.00%=1万元</w:t>
            </w:r>
          </w:p>
          <w:p>
            <w:pPr>
              <w:pStyle w:val="43"/>
              <w:ind w:left="60" w:leftChars="25" w:right="60" w:rightChars="25"/>
              <w:rPr>
                <w:rFonts w:cs="宋体"/>
                <w:color w:val="auto"/>
                <w:szCs w:val="21"/>
                <w:highlight w:val="none"/>
                <w:lang w:val="zh-CN"/>
              </w:rPr>
            </w:pPr>
            <w:r>
              <w:rPr>
                <w:rFonts w:hint="eastAsia" w:cs="宋体"/>
                <w:color w:val="auto"/>
                <w:szCs w:val="21"/>
                <w:highlight w:val="none"/>
                <w:lang w:val="zh-CN"/>
              </w:rPr>
              <w:t>(500－100)万元×0.70%=2.8万元</w:t>
            </w:r>
          </w:p>
          <w:p>
            <w:pPr>
              <w:pStyle w:val="43"/>
              <w:ind w:left="60" w:leftChars="25" w:right="60" w:rightChars="25"/>
              <w:rPr>
                <w:rFonts w:cs="宋体"/>
                <w:color w:val="auto"/>
                <w:szCs w:val="21"/>
                <w:highlight w:val="none"/>
                <w:lang w:val="zh-CN"/>
              </w:rPr>
            </w:pPr>
            <w:r>
              <w:rPr>
                <w:rFonts w:hint="eastAsia" w:cs="宋体"/>
                <w:color w:val="auto"/>
                <w:szCs w:val="21"/>
                <w:highlight w:val="none"/>
                <w:lang w:val="zh-CN"/>
              </w:rPr>
              <w:t>(1000－500)万元×0.55%=2.75万元</w:t>
            </w:r>
          </w:p>
          <w:p>
            <w:pPr>
              <w:pStyle w:val="43"/>
              <w:ind w:left="60" w:leftChars="25" w:right="60" w:rightChars="25"/>
              <w:rPr>
                <w:rFonts w:cs="宋体"/>
                <w:color w:val="auto"/>
                <w:szCs w:val="21"/>
                <w:highlight w:val="none"/>
                <w:lang w:val="zh-CN"/>
              </w:rPr>
            </w:pPr>
            <w:r>
              <w:rPr>
                <w:rFonts w:hint="eastAsia" w:cs="宋体"/>
                <w:color w:val="auto"/>
                <w:szCs w:val="21"/>
                <w:highlight w:val="none"/>
                <w:lang w:val="zh-CN"/>
              </w:rPr>
              <w:t>(5000－1000)万元×0.35%=14万元</w:t>
            </w:r>
          </w:p>
          <w:p>
            <w:pPr>
              <w:pStyle w:val="43"/>
              <w:ind w:left="60" w:leftChars="25" w:right="60" w:rightChars="25"/>
              <w:rPr>
                <w:rFonts w:cs="宋体"/>
                <w:color w:val="auto"/>
                <w:szCs w:val="21"/>
                <w:highlight w:val="none"/>
                <w:lang w:val="zh-CN"/>
              </w:rPr>
            </w:pPr>
            <w:r>
              <w:rPr>
                <w:rFonts w:hint="eastAsia" w:cs="宋体"/>
                <w:color w:val="auto"/>
                <w:szCs w:val="21"/>
                <w:highlight w:val="none"/>
                <w:lang w:val="zh-CN"/>
              </w:rPr>
              <w:t>(6000－5000)万元×0.20%=2万元</w:t>
            </w:r>
          </w:p>
          <w:p>
            <w:pPr>
              <w:pStyle w:val="43"/>
              <w:ind w:left="60" w:leftChars="25" w:right="60" w:rightChars="25"/>
              <w:rPr>
                <w:rFonts w:cs="宋体"/>
                <w:color w:val="auto"/>
                <w:szCs w:val="21"/>
                <w:highlight w:val="none"/>
                <w:lang w:val="zh-CN"/>
              </w:rPr>
            </w:pPr>
            <w:r>
              <w:rPr>
                <w:rFonts w:hint="eastAsia" w:cs="宋体"/>
                <w:color w:val="auto"/>
                <w:szCs w:val="21"/>
                <w:highlight w:val="none"/>
                <w:lang w:val="zh-CN"/>
              </w:rPr>
              <w:t>最终代理服务=(1+2.8+2.75+14+2)*(1</w:t>
            </w:r>
            <w:r>
              <w:rPr>
                <w:rFonts w:hint="eastAsia" w:cs="宋体"/>
                <w:color w:val="auto"/>
                <w:szCs w:val="21"/>
                <w:highlight w:val="none"/>
              </w:rPr>
              <w:t>-</w:t>
            </w:r>
            <w:r>
              <w:rPr>
                <w:rFonts w:hint="eastAsia" w:cs="宋体"/>
                <w:color w:val="auto"/>
                <w:szCs w:val="21"/>
                <w:highlight w:val="none"/>
                <w:lang w:val="zh-CN"/>
              </w:rPr>
              <w:t>20%)=18.04(万元)</w:t>
            </w:r>
          </w:p>
          <w:p>
            <w:pPr>
              <w:pStyle w:val="43"/>
              <w:ind w:left="60" w:leftChars="25" w:right="60" w:rightChars="25"/>
              <w:rPr>
                <w:rFonts w:cs="宋体"/>
                <w:color w:val="auto"/>
                <w:szCs w:val="21"/>
                <w:highlight w:val="none"/>
              </w:rPr>
            </w:pPr>
            <w:r>
              <w:rPr>
                <w:rFonts w:hint="eastAsia" w:cs="宋体"/>
                <w:color w:val="auto"/>
                <w:szCs w:val="21"/>
                <w:highlight w:val="none"/>
              </w:rPr>
              <w:t>3</w:t>
            </w:r>
            <w:r>
              <w:rPr>
                <w:rFonts w:hint="eastAsia" w:cs="宋体"/>
                <w:color w:val="auto"/>
                <w:szCs w:val="21"/>
                <w:highlight w:val="none"/>
                <w:lang w:val="zh-CN"/>
              </w:rPr>
              <w:t>.</w:t>
            </w:r>
            <w:r>
              <w:rPr>
                <w:rFonts w:hint="eastAsia" w:cs="宋体"/>
                <w:color w:val="auto"/>
                <w:szCs w:val="21"/>
                <w:highlight w:val="none"/>
              </w:rPr>
              <w:t>收取方式：中标</w:t>
            </w:r>
            <w:r>
              <w:rPr>
                <w:rFonts w:hint="eastAsia" w:cs="宋体"/>
                <w:color w:val="auto"/>
                <w:szCs w:val="21"/>
                <w:highlight w:val="none"/>
                <w:lang w:val="zh-CN"/>
              </w:rPr>
              <w:t>通知发出后二个工作日内由</w:t>
            </w:r>
            <w:r>
              <w:rPr>
                <w:rFonts w:hint="eastAsia" w:cs="宋体"/>
                <w:color w:val="auto"/>
                <w:szCs w:val="21"/>
                <w:highlight w:val="none"/>
              </w:rPr>
              <w:t>中标供应商</w:t>
            </w:r>
            <w:r>
              <w:rPr>
                <w:rFonts w:hint="eastAsia" w:cs="宋体"/>
                <w:color w:val="auto"/>
                <w:szCs w:val="21"/>
                <w:highlight w:val="none"/>
                <w:lang w:val="zh-CN"/>
              </w:rPr>
              <w:t>一次性支付</w:t>
            </w:r>
            <w:r>
              <w:rPr>
                <w:rFonts w:hint="eastAsia" w:cs="宋体"/>
                <w:color w:val="auto"/>
                <w:szCs w:val="21"/>
                <w:highlight w:val="none"/>
              </w:rPr>
              <w:t>至采购代理机构。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rPr>
            </w:pPr>
          </w:p>
        </w:tc>
        <w:tc>
          <w:tcPr>
            <w:tcW w:w="2009" w:type="dxa"/>
            <w:vAlign w:val="center"/>
          </w:tcPr>
          <w:p>
            <w:pPr>
              <w:pStyle w:val="47"/>
              <w:ind w:left="60" w:leftChars="25" w:right="60" w:rightChars="25"/>
              <w:rPr>
                <w:rFonts w:cs="宋体"/>
                <w:color w:val="auto"/>
                <w:szCs w:val="21"/>
                <w:highlight w:val="none"/>
                <w:lang w:val="zh-CN"/>
              </w:rPr>
            </w:pPr>
            <w:r>
              <w:rPr>
                <w:rFonts w:hint="eastAsia" w:cs="宋体"/>
                <w:color w:val="auto"/>
                <w:szCs w:val="21"/>
                <w:highlight w:val="none"/>
                <w:lang w:val="zh-CN"/>
              </w:rPr>
              <w:t>履约保证金</w:t>
            </w:r>
          </w:p>
          <w:p>
            <w:pPr>
              <w:pStyle w:val="47"/>
              <w:ind w:left="60" w:leftChars="25" w:right="60" w:rightChars="25"/>
              <w:rPr>
                <w:rFonts w:cs="宋体"/>
                <w:color w:val="auto"/>
                <w:szCs w:val="21"/>
                <w:highlight w:val="none"/>
              </w:rPr>
            </w:pPr>
            <w:r>
              <w:rPr>
                <w:rFonts w:hint="eastAsia" w:cs="宋体"/>
                <w:color w:val="auto"/>
                <w:szCs w:val="21"/>
                <w:highlight w:val="none"/>
              </w:rPr>
              <w:t>(实质性要求)</w:t>
            </w:r>
          </w:p>
        </w:tc>
        <w:tc>
          <w:tcPr>
            <w:tcW w:w="7171" w:type="dxa"/>
            <w:vAlign w:val="center"/>
          </w:tcPr>
          <w:p>
            <w:pPr>
              <w:tabs>
                <w:tab w:val="left" w:pos="312"/>
                <w:tab w:val="clear" w:pos="0"/>
              </w:tabs>
              <w:adjustRightInd/>
              <w:snapToGrid/>
              <w:spacing w:line="360" w:lineRule="exact"/>
              <w:ind w:left="60" w:leftChars="25" w:right="60" w:rightChars="25"/>
              <w:rPr>
                <w:rFonts w:cs="宋体"/>
                <w:color w:val="auto"/>
                <w:sz w:val="21"/>
                <w:szCs w:val="21"/>
                <w:highlight w:val="none"/>
              </w:rPr>
            </w:pPr>
            <w:r>
              <w:rPr>
                <w:rFonts w:hint="eastAsia" w:cs="宋体"/>
                <w:color w:val="auto"/>
                <w:sz w:val="21"/>
                <w:szCs w:val="21"/>
                <w:highlight w:val="none"/>
              </w:rPr>
              <w:t>详见招标文件第六章。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rPr>
            </w:pPr>
          </w:p>
        </w:tc>
        <w:tc>
          <w:tcPr>
            <w:tcW w:w="2009" w:type="dxa"/>
            <w:vAlign w:val="center"/>
          </w:tcPr>
          <w:p>
            <w:pPr>
              <w:pStyle w:val="47"/>
              <w:ind w:left="60" w:leftChars="25" w:right="60" w:rightChars="25"/>
              <w:rPr>
                <w:rFonts w:cs="宋体"/>
                <w:color w:val="auto"/>
                <w:szCs w:val="21"/>
                <w:highlight w:val="none"/>
              </w:rPr>
            </w:pPr>
            <w:r>
              <w:rPr>
                <w:rFonts w:hint="eastAsia" w:cs="宋体"/>
                <w:color w:val="auto"/>
                <w:szCs w:val="21"/>
                <w:highlight w:val="none"/>
              </w:rPr>
              <w:t>供应商询问</w:t>
            </w:r>
          </w:p>
        </w:tc>
        <w:tc>
          <w:tcPr>
            <w:tcW w:w="7171" w:type="dxa"/>
            <w:vAlign w:val="top"/>
          </w:tcPr>
          <w:p>
            <w:pPr>
              <w:pStyle w:val="43"/>
              <w:numPr>
                <w:ilvl w:val="0"/>
                <w:numId w:val="14"/>
              </w:numPr>
              <w:ind w:left="60" w:leftChars="25" w:right="60" w:rightChars="25" w:firstLine="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根据委托代理协议约定，采购人负责对采购文件技术参数部分的询问解释，四川乾新招投标代理有限公司负责答复，四川乾新招投标代理有限公司负责采购文件技术参数部分以外的询问解释和答复。</w:t>
            </w:r>
          </w:p>
          <w:p>
            <w:pPr>
              <w:pStyle w:val="43"/>
              <w:numPr>
                <w:ilvl w:val="0"/>
                <w:numId w:val="14"/>
              </w:numPr>
              <w:ind w:left="60" w:leftChars="25" w:right="60" w:rightChars="25" w:firstLine="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询问内容不得涉及评审秘密、国家机密和商业秘密等保密内容。</w:t>
            </w:r>
          </w:p>
          <w:p>
            <w:pPr>
              <w:pStyle w:val="43"/>
              <w:numPr>
                <w:ilvl w:val="0"/>
                <w:numId w:val="14"/>
              </w:numPr>
              <w:ind w:left="60" w:leftChars="25" w:right="60" w:rightChars="25" w:firstLine="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询问方式：询问可以采用邮寄、在线、现场书面或电子邮件等方式向四川乾新招投标代理有限公司提出；询问必须提供询问人基本信息(包含具体询问内容、询问人名称或姓名、联系人及联系电话、电子邮件)。</w:t>
            </w:r>
          </w:p>
          <w:p>
            <w:pPr>
              <w:pStyle w:val="43"/>
              <w:ind w:left="60" w:leftChars="25" w:right="60" w:rightChars="25"/>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联系人：</w:t>
            </w:r>
            <w:r>
              <w:rPr>
                <w:rFonts w:hint="eastAsia" w:ascii="宋体" w:hAnsi="宋体" w:eastAsia="宋体" w:cs="宋体"/>
                <w:color w:val="auto"/>
                <w:szCs w:val="21"/>
                <w:highlight w:val="none"/>
              </w:rPr>
              <w:t>王朝钢</w:t>
            </w:r>
          </w:p>
          <w:p>
            <w:pPr>
              <w:pStyle w:val="43"/>
              <w:ind w:left="60" w:leftChars="25" w:right="60" w:rightChars="25"/>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联系电话：</w:t>
            </w:r>
            <w:r>
              <w:rPr>
                <w:rFonts w:hint="eastAsia" w:ascii="宋体" w:hAnsi="宋体" w:eastAsia="宋体" w:cs="宋体"/>
                <w:color w:val="auto"/>
                <w:szCs w:val="21"/>
                <w:highlight w:val="none"/>
              </w:rPr>
              <w:t>028-</w:t>
            </w:r>
            <w:r>
              <w:rPr>
                <w:rFonts w:hint="eastAsia" w:ascii="宋体" w:hAnsi="宋体" w:eastAsia="宋体" w:cs="宋体"/>
                <w:color w:val="auto"/>
                <w:szCs w:val="21"/>
                <w:highlight w:val="none"/>
                <w:lang w:val="zh-CN"/>
              </w:rPr>
              <w:t>84638556、84882960</w:t>
            </w:r>
            <w:r>
              <w:rPr>
                <w:rFonts w:hint="eastAsia" w:ascii="宋体" w:hAnsi="宋体" w:eastAsia="宋体" w:cs="宋体"/>
                <w:color w:val="auto"/>
                <w:szCs w:val="21"/>
                <w:highlight w:val="none"/>
              </w:rPr>
              <w:t>转663</w:t>
            </w:r>
          </w:p>
          <w:p>
            <w:pPr>
              <w:pStyle w:val="43"/>
              <w:ind w:left="60" w:leftChars="25" w:right="60" w:rightChars="25"/>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地址：成都市高新区吉庆三路333号蜀都中心二期一号楼一单元401号</w:t>
            </w:r>
          </w:p>
          <w:p>
            <w:pPr>
              <w:pStyle w:val="43"/>
              <w:ind w:left="60" w:leftChars="25" w:right="60" w:rightChars="25"/>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邮编：610041</w:t>
            </w:r>
          </w:p>
          <w:p>
            <w:pPr>
              <w:pStyle w:val="43"/>
              <w:numPr>
                <w:ilvl w:val="0"/>
                <w:numId w:val="14"/>
              </w:numPr>
              <w:ind w:left="60" w:leftChars="25" w:right="60" w:rightChars="25" w:firstLine="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询问提出的范围及主体：①采购文件及采购信息公告环节：依法获取采购文件的潜在供应商可以对采购文件及采购信息公告的内容向四川乾新招投标代理有限公司或采购人提出询问，仅对采购信息公告内容提出询问的，不限制询问主体。②采购过程、采购结果环节：参与采购活动的供应商可以对采购过程、采购结果相关问题向四川乾新招投标代理有限公司提出询问，未参与采购活动的供应商不得对此环节提出询问。③针对中小企业提出的询问将优先加快办理。</w:t>
            </w:r>
          </w:p>
          <w:p>
            <w:pPr>
              <w:pStyle w:val="43"/>
              <w:numPr>
                <w:ilvl w:val="0"/>
                <w:numId w:val="14"/>
              </w:numPr>
              <w:ind w:left="60" w:leftChars="25" w:right="60" w:rightChars="25" w:firstLine="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为提高采购效率，降低社会成本，鼓励询问主体对于不损害国家及社会利益或自身合法权益的问题或情形采用询问方式处理解决(包含但不限于文字错误、标点符号、不影响投标文件的编制的情形)。</w:t>
            </w:r>
          </w:p>
          <w:p>
            <w:pPr>
              <w:pStyle w:val="43"/>
              <w:numPr>
                <w:ilvl w:val="0"/>
                <w:numId w:val="14"/>
              </w:numPr>
              <w:ind w:left="60" w:leftChars="25" w:right="60" w:rightChars="25" w:firstLine="0" w:firstLineChars="0"/>
              <w:rPr>
                <w:rFonts w:cs="宋体"/>
                <w:color w:val="auto"/>
                <w:szCs w:val="21"/>
                <w:highlight w:val="none"/>
              </w:rPr>
            </w:pPr>
            <w:r>
              <w:rPr>
                <w:rFonts w:hint="eastAsia" w:ascii="宋体" w:hAnsi="宋体" w:eastAsia="宋体" w:cs="宋体"/>
                <w:color w:val="auto"/>
                <w:szCs w:val="21"/>
                <w:highlight w:val="none"/>
              </w:rPr>
              <w:t>为降低时间成本，减少不必要的干扰，四川乾新招投标代理有限公司或采购人可以不接受未按照约定时间提出的询问。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rPr>
            </w:pPr>
          </w:p>
        </w:tc>
        <w:tc>
          <w:tcPr>
            <w:tcW w:w="2009" w:type="dxa"/>
            <w:vAlign w:val="center"/>
          </w:tcPr>
          <w:p>
            <w:pPr>
              <w:pStyle w:val="47"/>
              <w:ind w:left="60" w:leftChars="25" w:right="60" w:rightChars="25"/>
              <w:rPr>
                <w:rFonts w:cs="宋体"/>
                <w:color w:val="auto"/>
                <w:szCs w:val="21"/>
                <w:highlight w:val="none"/>
                <w:lang w:val="zh-CN"/>
              </w:rPr>
            </w:pPr>
            <w:r>
              <w:rPr>
                <w:rFonts w:hint="eastAsia" w:cs="宋体"/>
                <w:color w:val="auto"/>
                <w:szCs w:val="21"/>
                <w:highlight w:val="none"/>
              </w:rPr>
              <w:t>供应商质疑</w:t>
            </w:r>
          </w:p>
        </w:tc>
        <w:tc>
          <w:tcPr>
            <w:tcW w:w="7171" w:type="dxa"/>
            <w:vAlign w:val="center"/>
          </w:tcPr>
          <w:p>
            <w:pPr>
              <w:pStyle w:val="43"/>
              <w:ind w:left="60" w:leftChars="25" w:right="60" w:rightChars="25"/>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1.根据委托代理协议约定，采购人负责对采购文件技术参数部分的质疑解释，四川乾新招投标代理有限公司负责答复，四川乾新招投标代理有限公司负责采购文件技术参数部分以外的质疑解释和答复。</w:t>
            </w:r>
          </w:p>
          <w:p>
            <w:pPr>
              <w:pStyle w:val="43"/>
              <w:ind w:left="60" w:leftChars="25" w:right="60" w:rightChars="25"/>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2.供应商提出质疑应当坚持依法依规、诚实信用原则；不得超出采购文件、采购过程、采购结果的范围，不得进行虚假、恶意质疑，不得以质疑为手段获取不当得利、实现非法目的。</w:t>
            </w:r>
          </w:p>
          <w:p>
            <w:pPr>
              <w:pStyle w:val="43"/>
              <w:ind w:left="60" w:leftChars="25" w:right="60" w:rightChars="25"/>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3.提出质疑函的时限要求：供应商认为采购文件、采购过程、中标或者成交结果使其权益受到损害的，</w:t>
            </w:r>
            <w:r>
              <w:rPr>
                <w:rFonts w:hint="eastAsia" w:ascii="宋体" w:hAnsi="宋体" w:eastAsia="宋体" w:cs="宋体"/>
                <w:b/>
                <w:bCs/>
                <w:color w:val="auto"/>
                <w:szCs w:val="21"/>
                <w:highlight w:val="none"/>
              </w:rPr>
              <w:t>可以在知道或者应知其权益受到损害之日起2日内</w:t>
            </w:r>
            <w:r>
              <w:rPr>
                <w:rFonts w:hint="eastAsia" w:ascii="宋体" w:hAnsi="宋体" w:eastAsia="宋体" w:cs="宋体"/>
                <w:color w:val="auto"/>
                <w:szCs w:val="21"/>
                <w:highlight w:val="none"/>
              </w:rPr>
              <w:t>，以书面形式向采购人、采购代理机构提出质疑。</w:t>
            </w:r>
          </w:p>
          <w:p>
            <w:pPr>
              <w:pStyle w:val="43"/>
              <w:ind w:left="60" w:leftChars="25" w:right="60" w:rightChars="25"/>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④针对中小企业提出的质疑将优先加快办理</w:t>
            </w:r>
          </w:p>
          <w:p>
            <w:pPr>
              <w:pStyle w:val="43"/>
              <w:ind w:left="60" w:leftChars="25" w:right="60" w:rightChars="25"/>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联系人：王朝钢</w:t>
            </w:r>
          </w:p>
          <w:p>
            <w:pPr>
              <w:pStyle w:val="43"/>
              <w:ind w:left="60" w:leftChars="25" w:right="60" w:rightChars="25"/>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联系电话：028-</w:t>
            </w:r>
            <w:r>
              <w:rPr>
                <w:rFonts w:hint="eastAsia" w:ascii="宋体" w:hAnsi="宋体" w:eastAsia="宋体" w:cs="宋体"/>
                <w:color w:val="auto"/>
                <w:szCs w:val="21"/>
                <w:highlight w:val="none"/>
                <w:lang w:val="zh-CN"/>
              </w:rPr>
              <w:t>84638556、84882960</w:t>
            </w:r>
            <w:r>
              <w:rPr>
                <w:rFonts w:hint="eastAsia" w:ascii="宋体" w:hAnsi="宋体" w:eastAsia="宋体" w:cs="宋体"/>
                <w:color w:val="auto"/>
                <w:szCs w:val="21"/>
                <w:highlight w:val="none"/>
              </w:rPr>
              <w:t>转663</w:t>
            </w:r>
          </w:p>
          <w:p>
            <w:pPr>
              <w:pStyle w:val="43"/>
              <w:ind w:left="60" w:leftChars="25" w:right="60" w:rightChars="25"/>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通讯地址：</w:t>
            </w:r>
            <w:r>
              <w:rPr>
                <w:rFonts w:hint="eastAsia" w:ascii="宋体" w:hAnsi="宋体" w:eastAsia="宋体" w:cs="宋体"/>
                <w:color w:val="auto"/>
                <w:szCs w:val="21"/>
                <w:highlight w:val="none"/>
                <w:lang w:val="zh-CN"/>
              </w:rPr>
              <w:t>成都市高新区吉庆三路333号蜀都中心二期一号楼一单元401号</w:t>
            </w:r>
          </w:p>
          <w:p>
            <w:pPr>
              <w:pStyle w:val="43"/>
              <w:ind w:left="60" w:leftChars="25" w:right="60" w:rightChars="25"/>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邮编：610041</w:t>
            </w:r>
          </w:p>
          <w:p>
            <w:pPr>
              <w:pStyle w:val="43"/>
              <w:ind w:left="60" w:leftChars="25" w:right="60" w:rightChars="25"/>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注：①参照《中华人民共和国政府采购法》等法律法规规定，供应商质疑应当有明确的请求和必要的证明材料，须符合《政府采购质疑和投诉办法》(财政部第94号令)规定，并使用财政部下发《质疑函》范本。</w:t>
            </w:r>
          </w:p>
          <w:p>
            <w:pPr>
              <w:pStyle w:val="43"/>
              <w:ind w:left="60" w:leftChars="25" w:right="60" w:rightChars="25"/>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明确的请求是指：供应商对采购文件还是对采购过程还是对中标、成交结果提出质疑；想要达到的结果，如中标成交无效、废标、重新组织采购、赔偿、追究法律责任等；</w:t>
            </w:r>
          </w:p>
          <w:p>
            <w:pPr>
              <w:pStyle w:val="43"/>
              <w:ind w:left="60" w:leftChars="25" w:right="60" w:rightChars="25"/>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必要的证明材料是指：包含供应商的营业执照、授权委托书(法定代表人质疑时无需提供)、委托代理人身份证明、参加采购项目的证明、权益受到损害的证明材料、证明提出质疑的事实存在的材料等。</w:t>
            </w:r>
          </w:p>
          <w:p>
            <w:pPr>
              <w:pStyle w:val="43"/>
              <w:ind w:left="60" w:leftChars="25" w:right="60" w:rightChars="25"/>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因供应商提出的质疑函不符合《政府采购质疑和投诉办法》(财政部令第94号)第十二条的要求，四川乾新招投标代理有限公司或采购人将要求供应商在法定质疑期内进行质疑函补正，未进行补正或在法定质疑期内未进行补正的，其所有不利后果由供应商自行承担。</w:t>
            </w:r>
          </w:p>
          <w:p>
            <w:pPr>
              <w:pStyle w:val="43"/>
              <w:ind w:left="60" w:leftChars="25" w:right="60" w:rightChars="25"/>
              <w:textAlignment w:val="baseline"/>
              <w:rPr>
                <w:rFonts w:cs="宋体"/>
                <w:color w:val="auto"/>
                <w:szCs w:val="21"/>
                <w:highlight w:val="none"/>
              </w:rPr>
            </w:pPr>
            <w:r>
              <w:rPr>
                <w:rFonts w:hint="eastAsia" w:ascii="宋体" w:hAnsi="宋体" w:eastAsia="宋体" w:cs="宋体"/>
                <w:color w:val="auto"/>
                <w:szCs w:val="21"/>
                <w:highlight w:val="none"/>
              </w:rPr>
              <w:t>②</w:t>
            </w:r>
            <w:r>
              <w:rPr>
                <w:rFonts w:hint="eastAsia" w:ascii="宋体" w:hAnsi="宋体" w:eastAsia="宋体" w:cs="宋体"/>
                <w:color w:val="auto"/>
                <w:szCs w:val="21"/>
                <w:highlight w:val="none"/>
                <w:lang w:val="zh-CN"/>
              </w:rPr>
              <w:t>供应商</w:t>
            </w:r>
            <w:r>
              <w:rPr>
                <w:rFonts w:hint="eastAsia" w:ascii="宋体" w:hAnsi="宋体" w:eastAsia="宋体" w:cs="宋体"/>
                <w:color w:val="auto"/>
                <w:szCs w:val="21"/>
                <w:highlight w:val="none"/>
              </w:rPr>
              <w:t>应当在法定质疑期内一次性提出针对同一采购程序环节的质疑。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rPr>
            </w:pPr>
          </w:p>
        </w:tc>
        <w:tc>
          <w:tcPr>
            <w:tcW w:w="2009" w:type="dxa"/>
            <w:vAlign w:val="center"/>
          </w:tcPr>
          <w:p>
            <w:pPr>
              <w:pStyle w:val="47"/>
              <w:ind w:left="60" w:leftChars="25" w:right="60" w:rightChars="25"/>
              <w:rPr>
                <w:rFonts w:cs="宋体"/>
                <w:color w:val="auto"/>
                <w:szCs w:val="21"/>
                <w:highlight w:val="none"/>
                <w:lang w:val="zh-CN"/>
              </w:rPr>
            </w:pPr>
            <w:r>
              <w:rPr>
                <w:rFonts w:hint="eastAsia" w:cs="宋体"/>
                <w:color w:val="auto"/>
                <w:szCs w:val="21"/>
                <w:highlight w:val="none"/>
              </w:rPr>
              <w:t>供应商投诉</w:t>
            </w:r>
          </w:p>
        </w:tc>
        <w:tc>
          <w:tcPr>
            <w:tcW w:w="7171" w:type="dxa"/>
            <w:vAlign w:val="top"/>
          </w:tcPr>
          <w:p>
            <w:pPr>
              <w:pStyle w:val="43"/>
              <w:ind w:left="60" w:leftChars="25" w:right="60" w:rightChars="25"/>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投诉受理部门：成都市技师学院纪检监察处</w:t>
            </w:r>
          </w:p>
          <w:p>
            <w:pPr>
              <w:pStyle w:val="43"/>
              <w:ind w:left="60" w:leftChars="25" w:right="60" w:rightChars="25"/>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联系电话：028-64907543</w:t>
            </w:r>
          </w:p>
          <w:p>
            <w:pPr>
              <w:pStyle w:val="43"/>
              <w:ind w:left="60" w:leftChars="25" w:right="60" w:rightChars="25"/>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地址：成都市郫都区红光街道港通北3路1899号</w:t>
            </w:r>
          </w:p>
          <w:p>
            <w:pPr>
              <w:pStyle w:val="43"/>
              <w:ind w:left="60" w:leftChars="25" w:right="60" w:rightChars="25"/>
              <w:textAlignment w:val="baseline"/>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邮编：611700</w:t>
            </w:r>
          </w:p>
          <w:p>
            <w:pPr>
              <w:pStyle w:val="43"/>
              <w:ind w:left="60" w:leftChars="25" w:right="60" w:rightChars="25"/>
              <w:textAlignment w:val="baseline"/>
              <w:rPr>
                <w:rFonts w:cs="宋体"/>
                <w:color w:val="auto"/>
                <w:szCs w:val="21"/>
                <w:highlight w:val="none"/>
              </w:rPr>
            </w:pPr>
            <w:r>
              <w:rPr>
                <w:rFonts w:hint="eastAsia" w:ascii="宋体" w:hAnsi="宋体" w:eastAsia="宋体" w:cs="宋体"/>
                <w:color w:val="auto"/>
                <w:szCs w:val="21"/>
                <w:highlight w:val="none"/>
              </w:rPr>
              <w:t>注：供应商投诉应当有明确的请求和必要的证明材料。供应商投诉的事项不得超出已质疑事项的范围，须符合《政府采购质疑和投诉办法》(财政部第94号令)规定，并使用财政部下发《投诉书》范本。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rPr>
            </w:pPr>
          </w:p>
        </w:tc>
        <w:tc>
          <w:tcPr>
            <w:tcW w:w="2009" w:type="dxa"/>
            <w:vAlign w:val="center"/>
          </w:tcPr>
          <w:p>
            <w:pPr>
              <w:pStyle w:val="47"/>
              <w:ind w:left="60" w:leftChars="25" w:right="60" w:rightChars="25"/>
              <w:rPr>
                <w:rFonts w:cs="宋体"/>
                <w:color w:val="auto"/>
                <w:szCs w:val="21"/>
                <w:highlight w:val="none"/>
              </w:rPr>
            </w:pPr>
            <w:r>
              <w:rPr>
                <w:rFonts w:hint="eastAsia" w:cs="宋体"/>
                <w:color w:val="auto"/>
                <w:szCs w:val="21"/>
                <w:highlight w:val="none"/>
                <w:lang w:val="zh-CN"/>
              </w:rPr>
              <w:t>声明承诺提醒</w:t>
            </w:r>
          </w:p>
        </w:tc>
        <w:tc>
          <w:tcPr>
            <w:tcW w:w="7171" w:type="dxa"/>
            <w:vAlign w:val="center"/>
          </w:tcPr>
          <w:p>
            <w:pPr>
              <w:pStyle w:val="47"/>
              <w:ind w:left="60" w:leftChars="25" w:right="60" w:rightChars="25"/>
              <w:jc w:val="left"/>
              <w:rPr>
                <w:rFonts w:cs="宋体"/>
                <w:color w:val="auto"/>
                <w:szCs w:val="21"/>
                <w:highlight w:val="none"/>
              </w:rPr>
            </w:pPr>
            <w:r>
              <w:rPr>
                <w:rFonts w:hint="eastAsia" w:cs="宋体"/>
                <w:color w:val="auto"/>
                <w:szCs w:val="21"/>
                <w:highlight w:val="none"/>
              </w:rPr>
              <w:t>投标人的投标</w:t>
            </w:r>
            <w:r>
              <w:rPr>
                <w:rFonts w:hint="eastAsia" w:cs="宋体"/>
                <w:color w:val="auto"/>
                <w:szCs w:val="21"/>
                <w:highlight w:val="none"/>
                <w:lang w:val="zh-CN"/>
              </w:rPr>
              <w:t>文件中提供的各种声明和承诺应当真实有效，无效声明和承诺、虚假声明和承诺将由</w:t>
            </w:r>
            <w:r>
              <w:rPr>
                <w:rFonts w:hint="eastAsia" w:cs="宋体"/>
                <w:color w:val="auto"/>
                <w:szCs w:val="21"/>
                <w:highlight w:val="none"/>
              </w:rPr>
              <w:t>投标人自行</w:t>
            </w:r>
            <w:r>
              <w:rPr>
                <w:rFonts w:hint="eastAsia" w:cs="宋体"/>
                <w:color w:val="auto"/>
                <w:szCs w:val="21"/>
                <w:highlight w:val="none"/>
                <w:lang w:val="zh-CN"/>
              </w:rPr>
              <w:t>承担由此带来的</w:t>
            </w:r>
            <w:r>
              <w:rPr>
                <w:rFonts w:hint="eastAsia" w:cs="宋体"/>
                <w:color w:val="auto"/>
                <w:szCs w:val="21"/>
                <w:highlight w:val="none"/>
              </w:rPr>
              <w:t>一切</w:t>
            </w:r>
            <w:r>
              <w:rPr>
                <w:rFonts w:hint="eastAsia" w:cs="宋体"/>
                <w:color w:val="auto"/>
                <w:szCs w:val="21"/>
                <w:highlight w:val="none"/>
                <w:lang w:val="zh-CN"/>
              </w:rPr>
              <w:t>不利后果，</w:t>
            </w:r>
            <w:r>
              <w:rPr>
                <w:rFonts w:hint="eastAsia" w:cs="宋体"/>
                <w:color w:val="auto"/>
                <w:szCs w:val="21"/>
                <w:highlight w:val="none"/>
              </w:rPr>
              <w:t>采购代理机构</w:t>
            </w:r>
            <w:r>
              <w:rPr>
                <w:rFonts w:hint="eastAsia" w:cs="宋体"/>
                <w:color w:val="auto"/>
                <w:szCs w:val="21"/>
                <w:highlight w:val="none"/>
                <w:lang w:val="zh-CN"/>
              </w:rPr>
              <w:t>还将报告监管部门追究</w:t>
            </w:r>
            <w:r>
              <w:rPr>
                <w:rFonts w:hint="eastAsia" w:cs="宋体"/>
                <w:color w:val="auto"/>
                <w:szCs w:val="21"/>
                <w:highlight w:val="none"/>
              </w:rPr>
              <w:t>其</w:t>
            </w:r>
            <w:r>
              <w:rPr>
                <w:rFonts w:hint="eastAsia" w:cs="宋体"/>
                <w:color w:val="auto"/>
                <w:szCs w:val="21"/>
                <w:highlight w:val="none"/>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47"/>
              <w:numPr>
                <w:ilvl w:val="0"/>
                <w:numId w:val="8"/>
              </w:numPr>
              <w:ind w:left="60" w:leftChars="25" w:right="60" w:rightChars="25"/>
              <w:rPr>
                <w:rFonts w:cs="宋体"/>
                <w:color w:val="auto"/>
                <w:szCs w:val="21"/>
                <w:highlight w:val="none"/>
              </w:rPr>
            </w:pPr>
          </w:p>
        </w:tc>
        <w:tc>
          <w:tcPr>
            <w:tcW w:w="2009" w:type="dxa"/>
            <w:vAlign w:val="center"/>
          </w:tcPr>
          <w:p>
            <w:pPr>
              <w:pStyle w:val="47"/>
              <w:ind w:left="60" w:leftChars="25" w:right="60" w:rightChars="25"/>
              <w:rPr>
                <w:rFonts w:cs="宋体"/>
                <w:color w:val="auto"/>
                <w:szCs w:val="21"/>
                <w:highlight w:val="none"/>
              </w:rPr>
            </w:pPr>
            <w:r>
              <w:rPr>
                <w:rFonts w:hint="eastAsia" w:cs="宋体"/>
                <w:color w:val="auto"/>
                <w:szCs w:val="21"/>
                <w:highlight w:val="none"/>
              </w:rPr>
              <w:t>备注</w:t>
            </w:r>
          </w:p>
        </w:tc>
        <w:tc>
          <w:tcPr>
            <w:tcW w:w="7171" w:type="dxa"/>
            <w:vAlign w:val="center"/>
          </w:tcPr>
          <w:p>
            <w:pPr>
              <w:pStyle w:val="43"/>
              <w:ind w:left="60" w:leftChars="25" w:right="60" w:rightChars="25"/>
              <w:rPr>
                <w:rFonts w:cs="宋体"/>
                <w:color w:val="auto"/>
                <w:szCs w:val="21"/>
                <w:highlight w:val="none"/>
              </w:rPr>
            </w:pPr>
            <w:r>
              <w:rPr>
                <w:rFonts w:hint="eastAsia" w:cs="宋体"/>
                <w:color w:val="auto"/>
                <w:szCs w:val="21"/>
                <w:highlight w:val="none"/>
              </w:rPr>
              <w:t>若招标文件中其他内容与投标人须知前附表内容不一致的，以投标人须知前附表为准。</w:t>
            </w:r>
          </w:p>
        </w:tc>
      </w:tr>
    </w:tbl>
    <w:p>
      <w:pPr>
        <w:pStyle w:val="45"/>
        <w:spacing w:before="120" w:after="120"/>
        <w:rPr>
          <w:color w:val="auto"/>
          <w:highlight w:val="none"/>
        </w:rPr>
      </w:pPr>
      <w:r>
        <w:rPr>
          <w:rFonts w:hint="eastAsia"/>
          <w:color w:val="auto"/>
          <w:highlight w:val="none"/>
        </w:rPr>
        <w:br w:type="page"/>
      </w:r>
      <w:bookmarkStart w:id="35" w:name="_Toc2042"/>
      <w:bookmarkStart w:id="36" w:name="_Toc4011"/>
      <w:bookmarkStart w:id="37" w:name="_Toc15995"/>
      <w:bookmarkStart w:id="38" w:name="_Toc27579"/>
      <w:bookmarkStart w:id="39" w:name="_Toc23295"/>
      <w:bookmarkStart w:id="40" w:name="_Toc26593"/>
      <w:r>
        <w:rPr>
          <w:rFonts w:hint="eastAsia"/>
          <w:color w:val="auto"/>
          <w:highlight w:val="none"/>
        </w:rPr>
        <w:t>总 则</w:t>
      </w:r>
      <w:bookmarkEnd w:id="34"/>
      <w:bookmarkEnd w:id="35"/>
      <w:bookmarkEnd w:id="36"/>
      <w:bookmarkEnd w:id="37"/>
      <w:bookmarkEnd w:id="38"/>
      <w:bookmarkEnd w:id="39"/>
      <w:bookmarkEnd w:id="40"/>
    </w:p>
    <w:p>
      <w:pPr>
        <w:pStyle w:val="51"/>
        <w:spacing w:line="520" w:lineRule="exact"/>
        <w:ind w:firstLine="482"/>
        <w:rPr>
          <w:color w:val="auto"/>
          <w:highlight w:val="none"/>
        </w:rPr>
      </w:pPr>
      <w:bookmarkStart w:id="41" w:name="_Toc5790"/>
      <w:bookmarkStart w:id="42" w:name="_Toc29532"/>
      <w:bookmarkStart w:id="43" w:name="_Toc327196263"/>
      <w:bookmarkStart w:id="44" w:name="_Toc319439877"/>
      <w:bookmarkStart w:id="45" w:name="_Toc319440119"/>
      <w:bookmarkStart w:id="46" w:name="_Toc32648"/>
      <w:bookmarkStart w:id="47" w:name="_Toc23796"/>
      <w:bookmarkStart w:id="48" w:name="_Toc307501086"/>
      <w:bookmarkStart w:id="49" w:name="_Toc8501"/>
      <w:bookmarkStart w:id="50" w:name="_Toc309897492"/>
      <w:bookmarkStart w:id="51" w:name="_Toc3601"/>
      <w:bookmarkStart w:id="52" w:name="_Toc10311"/>
      <w:bookmarkStart w:id="53" w:name="_Toc28450"/>
      <w:bookmarkStart w:id="54" w:name="_Toc1044"/>
      <w:bookmarkStart w:id="55" w:name="_Toc217446034"/>
      <w:bookmarkStart w:id="56" w:name="_Toc307564829"/>
      <w:bookmarkStart w:id="57" w:name="_Toc20769"/>
      <w:bookmarkStart w:id="58" w:name="_Toc12046"/>
      <w:bookmarkStart w:id="59" w:name="_Toc308084574"/>
      <w:bookmarkStart w:id="60" w:name="_Toc31870"/>
      <w:bookmarkStart w:id="61" w:name="_Toc308188129"/>
      <w:bookmarkStart w:id="62" w:name="_Toc32483"/>
      <w:r>
        <w:rPr>
          <w:rFonts w:hint="eastAsia"/>
          <w:color w:val="auto"/>
          <w:highlight w:val="none"/>
        </w:rPr>
        <w:t>适用范围</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pPr>
        <w:pStyle w:val="37"/>
        <w:numPr>
          <w:ilvl w:val="2"/>
          <w:numId w:val="0"/>
        </w:numPr>
        <w:spacing w:line="520" w:lineRule="exact"/>
        <w:ind w:left="480" w:leftChars="200"/>
        <w:rPr>
          <w:color w:val="auto"/>
          <w:highlight w:val="none"/>
        </w:rPr>
      </w:pPr>
      <w:r>
        <w:rPr>
          <w:rFonts w:hint="eastAsia"/>
          <w:color w:val="auto"/>
          <w:highlight w:val="none"/>
        </w:rPr>
        <w:t>本招标文件仅适用于本次公开招标采购项目。</w:t>
      </w:r>
    </w:p>
    <w:p>
      <w:pPr>
        <w:pStyle w:val="51"/>
        <w:spacing w:line="520" w:lineRule="exact"/>
        <w:ind w:firstLine="482"/>
        <w:rPr>
          <w:color w:val="auto"/>
          <w:highlight w:val="none"/>
        </w:rPr>
      </w:pPr>
      <w:bookmarkStart w:id="63" w:name="_Toc19670"/>
      <w:bookmarkStart w:id="64" w:name="_Toc217446035"/>
      <w:bookmarkStart w:id="65" w:name="_Toc307501087"/>
      <w:bookmarkStart w:id="66" w:name="_Toc309897493"/>
      <w:bookmarkStart w:id="67" w:name="_Toc19069"/>
      <w:bookmarkStart w:id="68" w:name="_Toc156"/>
      <w:bookmarkStart w:id="69" w:name="_Toc12194"/>
      <w:bookmarkStart w:id="70" w:name="_Toc307564830"/>
      <w:bookmarkStart w:id="71" w:name="_Toc30345"/>
      <w:bookmarkStart w:id="72" w:name="_Toc24985"/>
      <w:bookmarkStart w:id="73" w:name="_Toc16858"/>
      <w:bookmarkStart w:id="74" w:name="_Toc24751"/>
      <w:bookmarkStart w:id="75" w:name="_Toc319440120"/>
      <w:bookmarkStart w:id="76" w:name="_Toc319439878"/>
      <w:bookmarkStart w:id="77" w:name="_Toc308188130"/>
      <w:bookmarkStart w:id="78" w:name="_Toc524"/>
      <w:bookmarkStart w:id="79" w:name="_Toc7942"/>
      <w:bookmarkStart w:id="80" w:name="_Toc327196264"/>
      <w:bookmarkStart w:id="81" w:name="_Toc2775"/>
      <w:bookmarkStart w:id="82" w:name="_Toc13022"/>
      <w:bookmarkStart w:id="83" w:name="_Toc308084575"/>
      <w:bookmarkStart w:id="84" w:name="_Toc3554"/>
      <w:r>
        <w:rPr>
          <w:rFonts w:hint="eastAsia"/>
          <w:color w:val="auto"/>
          <w:highlight w:val="none"/>
        </w:rPr>
        <w:t>有关定义</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pStyle w:val="65"/>
        <w:spacing w:line="520" w:lineRule="exact"/>
        <w:ind w:firstLine="480"/>
        <w:rPr>
          <w:color w:val="auto"/>
          <w:highlight w:val="none"/>
        </w:rPr>
      </w:pPr>
      <w:r>
        <w:rPr>
          <w:rFonts w:hint="eastAsia"/>
          <w:color w:val="auto"/>
          <w:highlight w:val="none"/>
        </w:rPr>
        <w:t>“采购人”系指成都市技师学院</w:t>
      </w:r>
      <w:r>
        <w:rPr>
          <w:rFonts w:hint="eastAsia"/>
          <w:color w:val="auto"/>
          <w:highlight w:val="none"/>
          <w:lang w:val="en-US" w:eastAsia="zh-CN"/>
        </w:rPr>
        <w:t>(成都工贸职业技术学院)</w:t>
      </w:r>
      <w:r>
        <w:rPr>
          <w:rFonts w:hint="eastAsia"/>
          <w:color w:val="auto"/>
          <w:highlight w:val="none"/>
        </w:rPr>
        <w:t>。</w:t>
      </w:r>
    </w:p>
    <w:p>
      <w:pPr>
        <w:pStyle w:val="65"/>
        <w:spacing w:line="520" w:lineRule="exact"/>
        <w:ind w:firstLine="480"/>
        <w:rPr>
          <w:color w:val="auto"/>
          <w:highlight w:val="none"/>
        </w:rPr>
      </w:pPr>
      <w:r>
        <w:rPr>
          <w:rFonts w:hint="eastAsia"/>
          <w:color w:val="auto"/>
          <w:highlight w:val="none"/>
        </w:rPr>
        <w:t>“采购代理机构”系指根据采购人的委托依法办理招标事宜的采购机构。本次招标的采购代理机构是四川乾新招投标代理有限公司。</w:t>
      </w:r>
    </w:p>
    <w:p>
      <w:pPr>
        <w:pStyle w:val="65"/>
        <w:spacing w:line="520" w:lineRule="exact"/>
        <w:ind w:firstLine="480"/>
        <w:rPr>
          <w:color w:val="auto"/>
          <w:highlight w:val="none"/>
        </w:rPr>
      </w:pPr>
      <w:r>
        <w:rPr>
          <w:rFonts w:hint="eastAsia"/>
          <w:color w:val="auto"/>
          <w:highlight w:val="none"/>
        </w:rPr>
        <w:t>“招标采购单位”系指“采购人”和“采购代理机构”的统称。</w:t>
      </w:r>
    </w:p>
    <w:p>
      <w:pPr>
        <w:pStyle w:val="65"/>
        <w:spacing w:line="520" w:lineRule="exact"/>
        <w:ind w:firstLine="480"/>
        <w:rPr>
          <w:color w:val="auto"/>
          <w:highlight w:val="none"/>
        </w:rPr>
      </w:pPr>
      <w:r>
        <w:rPr>
          <w:rFonts w:hint="eastAsia"/>
          <w:color w:val="auto"/>
          <w:highlight w:val="none"/>
        </w:rPr>
        <w:t>“投标人”系指获取了招标文件拟参加投标和向采购人提供货物及相应服务的供应商。</w:t>
      </w:r>
    </w:p>
    <w:p>
      <w:pPr>
        <w:pStyle w:val="65"/>
        <w:spacing w:line="520" w:lineRule="exact"/>
        <w:ind w:firstLine="480"/>
        <w:rPr>
          <w:color w:val="auto"/>
          <w:highlight w:val="none"/>
        </w:rPr>
      </w:pPr>
      <w:r>
        <w:rPr>
          <w:rFonts w:hint="eastAsia"/>
          <w:color w:val="auto"/>
          <w:highlight w:val="none"/>
        </w:rPr>
        <w:t>招标文件各部分规定的期间以时、日、月、年计算。期间开始的时和日，不计算在期间内，从次日开始计算。期限的最后一日是国家法定节假日的，顺延到节假日后的次日为期限的最后一日。招标文件涉及的法律法规中所称的“以上”、“以下”、“内”、“以内”，包括本数；所称的“不足”，不包括本数。</w:t>
      </w:r>
    </w:p>
    <w:p>
      <w:pPr>
        <w:pStyle w:val="65"/>
        <w:spacing w:line="520" w:lineRule="exact"/>
        <w:ind w:firstLine="480"/>
        <w:rPr>
          <w:color w:val="auto"/>
          <w:highlight w:val="none"/>
        </w:rPr>
      </w:pPr>
      <w:r>
        <w:rPr>
          <w:rFonts w:hint="eastAsia"/>
          <w:color w:val="auto"/>
          <w:highlight w:val="none"/>
        </w:rPr>
        <w:t>本招标文件各部分规定的时间均以北京时间为准。</w:t>
      </w:r>
    </w:p>
    <w:p>
      <w:pPr>
        <w:pStyle w:val="51"/>
        <w:spacing w:line="520" w:lineRule="exact"/>
        <w:ind w:firstLine="482"/>
        <w:rPr>
          <w:color w:val="auto"/>
          <w:highlight w:val="none"/>
        </w:rPr>
      </w:pPr>
      <w:bookmarkStart w:id="85" w:name="_Toc183582207"/>
      <w:bookmarkStart w:id="86" w:name="_Toc309897494"/>
      <w:bookmarkStart w:id="87" w:name="_Toc22174"/>
      <w:bookmarkStart w:id="88" w:name="_Toc319440121"/>
      <w:bookmarkStart w:id="89" w:name="_Toc24547"/>
      <w:bookmarkStart w:id="90" w:name="_Toc26508"/>
      <w:bookmarkStart w:id="91" w:name="_Toc217390843"/>
      <w:bookmarkStart w:id="92" w:name="_Toc307564831"/>
      <w:bookmarkStart w:id="93" w:name="_Toc308084576"/>
      <w:bookmarkStart w:id="94" w:name="_Toc217446036"/>
      <w:bookmarkStart w:id="95" w:name="_Toc29784"/>
      <w:bookmarkStart w:id="96" w:name="_Toc7511"/>
      <w:bookmarkStart w:id="97" w:name="_Toc30244"/>
      <w:bookmarkStart w:id="98" w:name="_Toc308188131"/>
      <w:bookmarkStart w:id="99" w:name="_Toc327196265"/>
      <w:bookmarkStart w:id="100" w:name="_Toc3060"/>
      <w:bookmarkStart w:id="101" w:name="_Toc23383"/>
      <w:bookmarkStart w:id="102" w:name="_Toc319439879"/>
      <w:bookmarkStart w:id="103" w:name="_Toc183682344"/>
      <w:bookmarkStart w:id="104" w:name="_Toc307501088"/>
      <w:bookmarkStart w:id="105" w:name="_Toc25594"/>
      <w:bookmarkStart w:id="106" w:name="_Toc7833"/>
      <w:bookmarkStart w:id="107" w:name="_Toc30689"/>
      <w:bookmarkStart w:id="108" w:name="_Toc4501"/>
      <w:bookmarkStart w:id="109" w:name="_Toc31295"/>
      <w:r>
        <w:rPr>
          <w:rFonts w:hint="eastAsia"/>
          <w:color w:val="auto"/>
          <w:highlight w:val="none"/>
        </w:rPr>
        <w:t>合格的投标人</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color w:val="auto"/>
          <w:highlight w:val="none"/>
        </w:rPr>
        <w:t>(实质性要求)</w:t>
      </w:r>
      <w:bookmarkEnd w:id="105"/>
      <w:bookmarkEnd w:id="106"/>
      <w:bookmarkEnd w:id="107"/>
      <w:bookmarkEnd w:id="108"/>
      <w:bookmarkEnd w:id="109"/>
    </w:p>
    <w:p>
      <w:pPr>
        <w:pStyle w:val="48"/>
        <w:spacing w:line="520" w:lineRule="exact"/>
        <w:rPr>
          <w:color w:val="auto"/>
          <w:highlight w:val="none"/>
        </w:rPr>
      </w:pPr>
      <w:r>
        <w:rPr>
          <w:rFonts w:hint="eastAsia"/>
          <w:color w:val="auto"/>
          <w:highlight w:val="none"/>
        </w:rPr>
        <w:t>合格的投标人应具备以下条件：</w:t>
      </w:r>
    </w:p>
    <w:p>
      <w:pPr>
        <w:pStyle w:val="65"/>
        <w:spacing w:line="520" w:lineRule="exact"/>
        <w:ind w:firstLine="480"/>
        <w:rPr>
          <w:color w:val="auto"/>
          <w:highlight w:val="none"/>
        </w:rPr>
      </w:pPr>
      <w:r>
        <w:rPr>
          <w:rFonts w:hint="eastAsia"/>
          <w:color w:val="auto"/>
          <w:highlight w:val="none"/>
        </w:rPr>
        <w:t>本招标文件“投标邀请”第五条规定的条件；</w:t>
      </w:r>
    </w:p>
    <w:p>
      <w:pPr>
        <w:pStyle w:val="65"/>
        <w:spacing w:line="520" w:lineRule="exact"/>
        <w:ind w:firstLine="480"/>
        <w:rPr>
          <w:color w:val="auto"/>
          <w:highlight w:val="none"/>
        </w:rPr>
      </w:pPr>
      <w:r>
        <w:rPr>
          <w:rFonts w:hint="eastAsia"/>
          <w:color w:val="auto"/>
          <w:highlight w:val="none"/>
        </w:rPr>
        <w:t>遵守国家有关的法律、法规、规章和其他政策制度；</w:t>
      </w:r>
    </w:p>
    <w:p>
      <w:pPr>
        <w:pStyle w:val="65"/>
        <w:spacing w:line="520" w:lineRule="exact"/>
        <w:ind w:firstLine="480"/>
        <w:rPr>
          <w:color w:val="auto"/>
          <w:highlight w:val="none"/>
        </w:rPr>
      </w:pPr>
      <w:r>
        <w:rPr>
          <w:rFonts w:hint="eastAsia"/>
          <w:color w:val="auto"/>
          <w:highlight w:val="none"/>
        </w:rPr>
        <w:t>依法通过</w:t>
      </w:r>
      <w:r>
        <w:rPr>
          <w:rFonts w:hint="eastAsia" w:cs="宋体"/>
          <w:color w:val="auto"/>
          <w:highlight w:val="none"/>
          <w:lang w:val="en-US" w:eastAsia="zh-CN"/>
        </w:rPr>
        <w:t>代理机构</w:t>
      </w:r>
      <w:r>
        <w:rPr>
          <w:rFonts w:hint="eastAsia"/>
          <w:color w:val="auto"/>
          <w:highlight w:val="none"/>
        </w:rPr>
        <w:t>获取了招标文件。</w:t>
      </w:r>
    </w:p>
    <w:p>
      <w:pPr>
        <w:pStyle w:val="51"/>
        <w:spacing w:line="520" w:lineRule="exact"/>
        <w:ind w:firstLine="482"/>
        <w:rPr>
          <w:color w:val="auto"/>
          <w:highlight w:val="none"/>
        </w:rPr>
      </w:pPr>
      <w:bookmarkStart w:id="110" w:name="_Toc309897495"/>
      <w:bookmarkStart w:id="111" w:name="_Toc327196266"/>
      <w:bookmarkStart w:id="112" w:name="_Toc183682345"/>
      <w:bookmarkStart w:id="113" w:name="_Toc319440122"/>
      <w:bookmarkStart w:id="114" w:name="_Toc14323"/>
      <w:bookmarkStart w:id="115" w:name="_Toc12293"/>
      <w:bookmarkStart w:id="116" w:name="_Toc217446037"/>
      <w:bookmarkStart w:id="117" w:name="_Toc183582208"/>
      <w:bookmarkStart w:id="118" w:name="_Toc307564832"/>
      <w:bookmarkStart w:id="119" w:name="_Toc9761"/>
      <w:bookmarkStart w:id="120" w:name="_Toc5067"/>
      <w:bookmarkStart w:id="121" w:name="_Toc308084577"/>
      <w:bookmarkStart w:id="122" w:name="_Toc4414"/>
      <w:bookmarkStart w:id="123" w:name="_Toc26952"/>
      <w:bookmarkStart w:id="124" w:name="_Toc319439880"/>
      <w:bookmarkStart w:id="125" w:name="_Toc307501089"/>
      <w:bookmarkStart w:id="126" w:name="_Toc308188132"/>
      <w:bookmarkStart w:id="127" w:name="_Toc21649"/>
      <w:bookmarkStart w:id="128" w:name="_Toc28895"/>
      <w:bookmarkStart w:id="129" w:name="_Toc11773"/>
      <w:bookmarkStart w:id="130" w:name="_Toc24972"/>
      <w:bookmarkStart w:id="131" w:name="_Toc20132"/>
      <w:bookmarkStart w:id="132" w:name="_Toc31729"/>
      <w:bookmarkStart w:id="133" w:name="_Toc7047"/>
      <w:r>
        <w:rPr>
          <w:rFonts w:hint="eastAsia"/>
          <w:color w:val="auto"/>
          <w:highlight w:val="none"/>
        </w:rPr>
        <w:t>投标费用</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Pr>
          <w:rFonts w:hint="eastAsia"/>
          <w:color w:val="auto"/>
          <w:highlight w:val="none"/>
        </w:rPr>
        <w:t>(实质性要求)</w:t>
      </w:r>
      <w:bookmarkEnd w:id="129"/>
      <w:bookmarkEnd w:id="130"/>
      <w:bookmarkEnd w:id="131"/>
      <w:bookmarkEnd w:id="132"/>
      <w:bookmarkEnd w:id="133"/>
    </w:p>
    <w:p>
      <w:pPr>
        <w:pStyle w:val="48"/>
        <w:spacing w:line="520" w:lineRule="exact"/>
        <w:rPr>
          <w:color w:val="auto"/>
          <w:highlight w:val="none"/>
        </w:rPr>
      </w:pPr>
      <w:r>
        <w:rPr>
          <w:rFonts w:hint="eastAsia"/>
          <w:color w:val="auto"/>
          <w:highlight w:val="none"/>
        </w:rPr>
        <w:t>投标人参加投标的有关费用由投标人自行承担。</w:t>
      </w:r>
    </w:p>
    <w:p>
      <w:pPr>
        <w:pStyle w:val="51"/>
        <w:spacing w:line="520" w:lineRule="exact"/>
        <w:ind w:firstLine="482"/>
        <w:rPr>
          <w:color w:val="auto"/>
          <w:highlight w:val="none"/>
        </w:rPr>
      </w:pPr>
      <w:bookmarkStart w:id="134" w:name="_Toc309897496"/>
      <w:bookmarkStart w:id="135" w:name="_Toc308084578"/>
      <w:bookmarkStart w:id="136" w:name="_Toc319440123"/>
      <w:bookmarkStart w:id="137" w:name="_Toc11996"/>
      <w:bookmarkStart w:id="138" w:name="_Toc18993"/>
      <w:bookmarkStart w:id="139" w:name="_Toc307564833"/>
      <w:bookmarkStart w:id="140" w:name="_Toc18984"/>
      <w:bookmarkStart w:id="141" w:name="_Toc28490"/>
      <w:bookmarkStart w:id="142" w:name="_Toc308188133"/>
      <w:bookmarkStart w:id="143" w:name="_Toc27927"/>
      <w:bookmarkStart w:id="144" w:name="_Toc27604"/>
      <w:bookmarkStart w:id="145" w:name="_Toc11131"/>
      <w:bookmarkStart w:id="146" w:name="_Toc307501090"/>
      <w:bookmarkStart w:id="147" w:name="_Toc319439881"/>
      <w:bookmarkStart w:id="148" w:name="_Toc7710"/>
      <w:bookmarkStart w:id="149" w:name="_Toc327196267"/>
      <w:bookmarkStart w:id="150" w:name="_Toc433"/>
      <w:bookmarkStart w:id="151" w:name="_Toc5564"/>
      <w:bookmarkStart w:id="152" w:name="_Toc11923"/>
      <w:bookmarkStart w:id="153" w:name="_Toc5991"/>
      <w:bookmarkStart w:id="154" w:name="_Toc11411"/>
      <w:r>
        <w:rPr>
          <w:rFonts w:hint="eastAsia"/>
          <w:color w:val="auto"/>
          <w:highlight w:val="none"/>
        </w:rPr>
        <w:t>充分、公平竞争保障措施</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Pr>
          <w:rFonts w:hint="eastAsia"/>
          <w:color w:val="auto"/>
          <w:highlight w:val="none"/>
        </w:rPr>
        <w:t>(实质性要求)</w:t>
      </w:r>
      <w:bookmarkEnd w:id="150"/>
      <w:bookmarkEnd w:id="151"/>
      <w:bookmarkEnd w:id="152"/>
      <w:bookmarkEnd w:id="153"/>
      <w:bookmarkEnd w:id="154"/>
    </w:p>
    <w:p>
      <w:pPr>
        <w:pStyle w:val="65"/>
        <w:spacing w:line="520" w:lineRule="exact"/>
        <w:ind w:firstLine="480"/>
        <w:rPr>
          <w:color w:val="auto"/>
          <w:highlight w:val="none"/>
        </w:rPr>
      </w:pPr>
      <w:bookmarkStart w:id="155" w:name="_Toc77400779"/>
      <w:bookmarkStart w:id="156" w:name="_Toc183682346"/>
      <w:bookmarkStart w:id="157" w:name="_Toc183582209"/>
      <w:bookmarkStart w:id="158" w:name="_Toc13891"/>
      <w:bookmarkStart w:id="159" w:name="_Toc327196268"/>
      <w:bookmarkStart w:id="160" w:name="_Toc89075875"/>
      <w:bookmarkStart w:id="161" w:name="_Toc217446038"/>
      <w:r>
        <w:rPr>
          <w:rFonts w:hint="eastAsia"/>
          <w:color w:val="auto"/>
          <w:highlight w:val="none"/>
        </w:rPr>
        <w:t>提供相同品牌产品处理。</w:t>
      </w:r>
    </w:p>
    <w:p>
      <w:pPr>
        <w:pStyle w:val="48"/>
        <w:spacing w:line="520" w:lineRule="exact"/>
        <w:rPr>
          <w:color w:val="auto"/>
          <w:highlight w:val="none"/>
        </w:rPr>
      </w:pPr>
      <w:r>
        <w:rPr>
          <w:rFonts w:hint="eastAsia"/>
          <w:color w:val="auto"/>
          <w:highlight w:val="none"/>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随机抽签的方式确定一个投标人获得中标人推荐资格，其他同品牌投标人不作为中标候选人。</w:t>
      </w:r>
    </w:p>
    <w:p>
      <w:pPr>
        <w:pStyle w:val="65"/>
        <w:spacing w:line="520" w:lineRule="exact"/>
        <w:ind w:firstLine="480"/>
        <w:rPr>
          <w:color w:val="auto"/>
          <w:highlight w:val="none"/>
        </w:rPr>
      </w:pPr>
      <w:r>
        <w:rPr>
          <w:rFonts w:hint="eastAsia"/>
          <w:color w:val="auto"/>
          <w:highlight w:val="none"/>
        </w:rPr>
        <w:t>利害关系供应商处理。</w:t>
      </w:r>
    </w:p>
    <w:p>
      <w:pPr>
        <w:pStyle w:val="48"/>
        <w:spacing w:line="520" w:lineRule="exact"/>
        <w:rPr>
          <w:color w:val="auto"/>
          <w:highlight w:val="none"/>
        </w:rPr>
      </w:pPr>
      <w:r>
        <w:rPr>
          <w:rFonts w:hint="eastAsia"/>
          <w:color w:val="auto"/>
          <w:highlight w:val="none"/>
        </w:rPr>
        <w:t>单位负责人为同一人或者存在直接控股、管理关系的不同供应商不得参加同一合同项下的</w:t>
      </w:r>
      <w:r>
        <w:rPr>
          <w:rFonts w:hint="eastAsia"/>
          <w:color w:val="auto"/>
          <w:highlight w:val="none"/>
          <w:lang w:eastAsia="zh-CN"/>
        </w:rPr>
        <w:t>采购</w:t>
      </w:r>
      <w:r>
        <w:rPr>
          <w:rFonts w:hint="eastAsia"/>
          <w:color w:val="auto"/>
          <w:highlight w:val="none"/>
        </w:rPr>
        <w:t>活动。采购项目实行资格预审的，单位负责人为同一人或者存在直接控股、管理关系的不同供应商可以参加资格预审，但只能选择其中一家符合条件的供应商参加后续的</w:t>
      </w:r>
      <w:r>
        <w:rPr>
          <w:rFonts w:hint="eastAsia"/>
          <w:color w:val="auto"/>
          <w:highlight w:val="none"/>
          <w:lang w:eastAsia="zh-CN"/>
        </w:rPr>
        <w:t>采购</w:t>
      </w:r>
      <w:r>
        <w:rPr>
          <w:rFonts w:hint="eastAsia"/>
          <w:color w:val="auto"/>
          <w:highlight w:val="none"/>
        </w:rPr>
        <w:t>活动。</w:t>
      </w:r>
    </w:p>
    <w:p>
      <w:pPr>
        <w:pStyle w:val="48"/>
        <w:spacing w:line="520" w:lineRule="exact"/>
        <w:rPr>
          <w:color w:val="auto"/>
          <w:highlight w:val="none"/>
        </w:rPr>
      </w:pPr>
      <w:r>
        <w:rPr>
          <w:rFonts w:hint="eastAsia"/>
          <w:color w:val="auto"/>
          <w:highlight w:val="none"/>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p>
      <w:pPr>
        <w:pStyle w:val="65"/>
        <w:spacing w:line="520" w:lineRule="exact"/>
        <w:ind w:firstLine="480"/>
        <w:rPr>
          <w:color w:val="auto"/>
          <w:highlight w:val="none"/>
        </w:rPr>
      </w:pPr>
      <w:r>
        <w:rPr>
          <w:rFonts w:hint="eastAsia"/>
          <w:color w:val="auto"/>
          <w:highlight w:val="none"/>
        </w:rPr>
        <w:t>前期参与供应商处理。</w:t>
      </w:r>
    </w:p>
    <w:p>
      <w:pPr>
        <w:pStyle w:val="48"/>
        <w:spacing w:line="520" w:lineRule="exact"/>
        <w:rPr>
          <w:color w:val="auto"/>
          <w:highlight w:val="none"/>
        </w:rPr>
      </w:pPr>
      <w:r>
        <w:rPr>
          <w:rFonts w:hint="eastAsia"/>
          <w:color w:val="auto"/>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w:t>
      </w:r>
      <w:r>
        <w:rPr>
          <w:rFonts w:hint="eastAsia"/>
          <w:color w:val="auto"/>
          <w:highlight w:val="none"/>
          <w:lang w:eastAsia="zh-CN"/>
        </w:rPr>
        <w:t>采购合同</w:t>
      </w:r>
      <w:r>
        <w:rPr>
          <w:rFonts w:hint="eastAsia"/>
          <w:color w:val="auto"/>
          <w:highlight w:val="none"/>
        </w:rPr>
        <w:t>等实质性内容条款的，视同为采购项目提供规范编制。</w:t>
      </w:r>
    </w:p>
    <w:p>
      <w:pPr>
        <w:pStyle w:val="48"/>
        <w:spacing w:line="520" w:lineRule="exact"/>
        <w:ind w:firstLine="482"/>
        <w:rPr>
          <w:b/>
          <w:bCs/>
          <w:color w:val="auto"/>
          <w:highlight w:val="none"/>
        </w:rPr>
      </w:pPr>
      <w:r>
        <w:rPr>
          <w:rFonts w:hint="eastAsia"/>
          <w:b/>
          <w:bCs/>
          <w:color w:val="auto"/>
          <w:highlight w:val="none"/>
        </w:rPr>
        <w:t>注：本项目无符合本条规定的供应商。</w:t>
      </w:r>
    </w:p>
    <w:p>
      <w:pPr>
        <w:pStyle w:val="65"/>
        <w:spacing w:line="520" w:lineRule="exact"/>
        <w:ind w:firstLine="480"/>
        <w:rPr>
          <w:color w:val="auto"/>
          <w:highlight w:val="none"/>
        </w:rPr>
      </w:pPr>
      <w:r>
        <w:rPr>
          <w:rFonts w:hint="eastAsia"/>
          <w:color w:val="auto"/>
          <w:highlight w:val="none"/>
        </w:rPr>
        <w:t>利害关系代理人处理。</w:t>
      </w:r>
    </w:p>
    <w:p>
      <w:pPr>
        <w:pStyle w:val="66"/>
        <w:spacing w:line="520" w:lineRule="exact"/>
        <w:ind w:firstLine="480"/>
        <w:rPr>
          <w:color w:val="auto"/>
          <w:highlight w:val="none"/>
        </w:rPr>
      </w:pPr>
      <w:r>
        <w:rPr>
          <w:rFonts w:hint="eastAsia"/>
          <w:color w:val="auto"/>
          <w:highlight w:val="none"/>
        </w:rPr>
        <w:t>在同一合同项下的采购项目中，若有2家及以上的供应商同时委托同一个自然人、同一家庭的人员、同一单位的人员作为其代理人，其投标文件作为无效处理。</w:t>
      </w:r>
    </w:p>
    <w:p>
      <w:pPr>
        <w:pStyle w:val="66"/>
        <w:spacing w:line="520" w:lineRule="exact"/>
        <w:ind w:firstLine="480"/>
        <w:rPr>
          <w:color w:val="auto"/>
          <w:highlight w:val="none"/>
        </w:rPr>
      </w:pPr>
      <w:r>
        <w:rPr>
          <w:rFonts w:hint="eastAsia"/>
          <w:color w:val="auto"/>
          <w:highlight w:val="none"/>
        </w:rPr>
        <w:t>供应商实际控制人或者中高级管理人员，同时是采购代理机构工作人员，不得参与本项目</w:t>
      </w:r>
      <w:r>
        <w:rPr>
          <w:rFonts w:hint="eastAsia"/>
          <w:color w:val="auto"/>
          <w:highlight w:val="none"/>
          <w:lang w:eastAsia="zh-CN"/>
        </w:rPr>
        <w:t>采购</w:t>
      </w:r>
      <w:r>
        <w:rPr>
          <w:rFonts w:hint="eastAsia"/>
          <w:color w:val="auto"/>
          <w:highlight w:val="none"/>
        </w:rPr>
        <w:t>活动。</w:t>
      </w:r>
    </w:p>
    <w:p>
      <w:pPr>
        <w:pStyle w:val="66"/>
        <w:spacing w:line="520" w:lineRule="exact"/>
        <w:ind w:firstLine="480"/>
        <w:rPr>
          <w:color w:val="auto"/>
          <w:highlight w:val="none"/>
        </w:rPr>
      </w:pPr>
      <w:r>
        <w:rPr>
          <w:rFonts w:hint="eastAsia"/>
          <w:color w:val="auto"/>
          <w:highlight w:val="none"/>
        </w:rPr>
        <w:t>同一母公司的两家以上的子公司只能组成联合体参加本项目同一合同项下的采购活动，不得以不同供应商身份同时参加本项目同一合同项下的采购活动</w:t>
      </w:r>
    </w:p>
    <w:p>
      <w:pPr>
        <w:pStyle w:val="66"/>
        <w:spacing w:line="520" w:lineRule="exact"/>
        <w:ind w:firstLine="480"/>
        <w:rPr>
          <w:color w:val="auto"/>
          <w:highlight w:val="none"/>
        </w:rPr>
      </w:pPr>
      <w:r>
        <w:rPr>
          <w:rFonts w:hint="eastAsia"/>
          <w:color w:val="auto"/>
          <w:highlight w:val="none"/>
        </w:rPr>
        <w:t>供应商与采购代理机构存在关联关系，或者是采购代理机构的母公司或子公司，不得参加本项目</w:t>
      </w:r>
      <w:r>
        <w:rPr>
          <w:rFonts w:hint="eastAsia"/>
          <w:color w:val="auto"/>
          <w:highlight w:val="none"/>
          <w:lang w:eastAsia="zh-CN"/>
        </w:rPr>
        <w:t>采购</w:t>
      </w:r>
      <w:r>
        <w:rPr>
          <w:rFonts w:hint="eastAsia"/>
          <w:color w:val="auto"/>
          <w:highlight w:val="none"/>
        </w:rPr>
        <w:t>活动。</w:t>
      </w:r>
    </w:p>
    <w:p>
      <w:pPr>
        <w:pStyle w:val="45"/>
        <w:spacing w:before="120" w:after="120" w:line="520" w:lineRule="exact"/>
        <w:rPr>
          <w:color w:val="auto"/>
          <w:highlight w:val="none"/>
        </w:rPr>
      </w:pPr>
      <w:bookmarkStart w:id="162" w:name="_Toc16348"/>
      <w:bookmarkStart w:id="163" w:name="_Toc27564"/>
      <w:bookmarkStart w:id="164" w:name="_Toc32760"/>
      <w:bookmarkStart w:id="165" w:name="_Toc14125"/>
      <w:bookmarkStart w:id="166" w:name="_Toc12561"/>
      <w:r>
        <w:rPr>
          <w:rFonts w:hint="eastAsia"/>
          <w:color w:val="auto"/>
          <w:highlight w:val="none"/>
        </w:rPr>
        <w:t>招标文件</w:t>
      </w:r>
      <w:bookmarkEnd w:id="155"/>
      <w:bookmarkEnd w:id="156"/>
      <w:bookmarkEnd w:id="157"/>
      <w:bookmarkEnd w:id="158"/>
      <w:bookmarkEnd w:id="159"/>
      <w:bookmarkEnd w:id="160"/>
      <w:bookmarkEnd w:id="161"/>
      <w:bookmarkEnd w:id="162"/>
      <w:bookmarkEnd w:id="163"/>
      <w:bookmarkEnd w:id="164"/>
      <w:bookmarkEnd w:id="165"/>
      <w:bookmarkEnd w:id="166"/>
    </w:p>
    <w:p>
      <w:pPr>
        <w:pStyle w:val="51"/>
        <w:numPr>
          <w:ilvl w:val="2"/>
          <w:numId w:val="15"/>
        </w:numPr>
        <w:spacing w:line="520" w:lineRule="exact"/>
        <w:ind w:firstLine="482"/>
        <w:rPr>
          <w:color w:val="auto"/>
          <w:highlight w:val="none"/>
        </w:rPr>
      </w:pPr>
      <w:bookmarkStart w:id="167" w:name="_Toc327196269"/>
      <w:bookmarkStart w:id="168" w:name="_Toc25874"/>
      <w:bookmarkStart w:id="169" w:name="_Toc308188135"/>
      <w:bookmarkStart w:id="170" w:name="_Toc308084580"/>
      <w:bookmarkStart w:id="171" w:name="_Toc29703"/>
      <w:bookmarkStart w:id="172" w:name="_Toc183682347"/>
      <w:bookmarkStart w:id="173" w:name="_Toc24565"/>
      <w:bookmarkStart w:id="174" w:name="_Toc22520"/>
      <w:bookmarkStart w:id="175" w:name="_Toc183582210"/>
      <w:bookmarkStart w:id="176" w:name="_Toc16404"/>
      <w:bookmarkStart w:id="177" w:name="_Toc8808"/>
      <w:bookmarkStart w:id="178" w:name="_Toc319439883"/>
      <w:bookmarkStart w:id="179" w:name="_Toc309897498"/>
      <w:bookmarkStart w:id="180" w:name="_Toc5983"/>
      <w:bookmarkStart w:id="181" w:name="_Toc217446039"/>
      <w:bookmarkStart w:id="182" w:name="_Toc19030"/>
      <w:bookmarkStart w:id="183" w:name="_Toc307501092"/>
      <w:bookmarkStart w:id="184" w:name="_Toc29642"/>
      <w:bookmarkStart w:id="185" w:name="_Toc319440125"/>
      <w:bookmarkStart w:id="186" w:name="_Toc307564835"/>
      <w:bookmarkStart w:id="187" w:name="_Toc10567"/>
      <w:bookmarkStart w:id="188" w:name="_Toc25650"/>
      <w:bookmarkStart w:id="189" w:name="_Toc21985"/>
      <w:bookmarkStart w:id="190" w:name="_Toc22035"/>
      <w:r>
        <w:rPr>
          <w:rFonts w:hint="eastAsia"/>
          <w:color w:val="auto"/>
          <w:highlight w:val="none"/>
        </w:rPr>
        <w:t>招标文件的构成</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pStyle w:val="65"/>
        <w:spacing w:line="520" w:lineRule="exact"/>
        <w:ind w:firstLine="480"/>
        <w:rPr>
          <w:color w:val="auto"/>
          <w:highlight w:val="none"/>
        </w:rPr>
      </w:pPr>
      <w:r>
        <w:rPr>
          <w:rFonts w:hint="eastAsia"/>
          <w:color w:val="auto"/>
          <w:highlight w:val="none"/>
        </w:rPr>
        <w:t>招标文件是供应商准备投标文件和参加投标的依据，同时也是评标的重要依据，具有准法律文件性质。招标文件用以阐明招标项目所需的资质、技术、服务及报价等要求、招标投标程序、有关规定和注意事项以及采购合同主要条款等。本招标文件包括以下内容：</w:t>
      </w:r>
    </w:p>
    <w:p>
      <w:pPr>
        <w:pStyle w:val="66"/>
        <w:spacing w:line="520" w:lineRule="exact"/>
        <w:ind w:firstLine="480"/>
        <w:rPr>
          <w:color w:val="auto"/>
          <w:highlight w:val="none"/>
        </w:rPr>
      </w:pPr>
      <w:r>
        <w:rPr>
          <w:rFonts w:hint="eastAsia"/>
          <w:color w:val="auto"/>
          <w:highlight w:val="none"/>
        </w:rPr>
        <w:t>投标邀请；</w:t>
      </w:r>
    </w:p>
    <w:p>
      <w:pPr>
        <w:pStyle w:val="66"/>
        <w:spacing w:line="520" w:lineRule="exact"/>
        <w:ind w:firstLine="480"/>
        <w:rPr>
          <w:color w:val="auto"/>
          <w:highlight w:val="none"/>
        </w:rPr>
      </w:pPr>
      <w:r>
        <w:rPr>
          <w:rFonts w:hint="eastAsia"/>
          <w:color w:val="auto"/>
          <w:highlight w:val="none"/>
        </w:rPr>
        <w:t>投标人须知(包括投标文件的密封、签署、盖章要求等)；</w:t>
      </w:r>
    </w:p>
    <w:p>
      <w:pPr>
        <w:pStyle w:val="66"/>
        <w:spacing w:line="520" w:lineRule="exact"/>
        <w:ind w:firstLine="480"/>
        <w:rPr>
          <w:color w:val="auto"/>
          <w:highlight w:val="none"/>
        </w:rPr>
      </w:pPr>
      <w:r>
        <w:rPr>
          <w:rFonts w:hint="eastAsia"/>
          <w:color w:val="auto"/>
          <w:highlight w:val="none"/>
        </w:rPr>
        <w:t>投标人应当提交的资格、资信证明文件；</w:t>
      </w:r>
    </w:p>
    <w:p>
      <w:pPr>
        <w:pStyle w:val="66"/>
        <w:spacing w:line="520" w:lineRule="exact"/>
        <w:ind w:firstLine="480"/>
        <w:rPr>
          <w:color w:val="auto"/>
          <w:highlight w:val="none"/>
        </w:rPr>
      </w:pPr>
      <w:r>
        <w:rPr>
          <w:rFonts w:hint="eastAsia"/>
          <w:color w:val="auto"/>
          <w:highlight w:val="none"/>
        </w:rPr>
        <w:t>为落实</w:t>
      </w:r>
      <w:r>
        <w:rPr>
          <w:rFonts w:hint="eastAsia"/>
          <w:color w:val="auto"/>
          <w:highlight w:val="none"/>
          <w:lang w:eastAsia="zh-CN"/>
        </w:rPr>
        <w:t>采购</w:t>
      </w:r>
      <w:r>
        <w:rPr>
          <w:rFonts w:hint="eastAsia"/>
          <w:color w:val="auto"/>
          <w:highlight w:val="none"/>
        </w:rPr>
        <w:t>政策，采购标的需满足的要求，以及投标人须提供的证明材料；</w:t>
      </w:r>
    </w:p>
    <w:p>
      <w:pPr>
        <w:pStyle w:val="66"/>
        <w:spacing w:line="520" w:lineRule="exact"/>
        <w:ind w:firstLine="480"/>
        <w:rPr>
          <w:color w:val="auto"/>
          <w:highlight w:val="none"/>
        </w:rPr>
      </w:pPr>
      <w:r>
        <w:rPr>
          <w:rFonts w:hint="eastAsia"/>
          <w:color w:val="auto"/>
          <w:highlight w:val="none"/>
        </w:rPr>
        <w:t>投标文件编制要求、投标报价要求和保证金交纳、退还方式以及不予退还的情形；</w:t>
      </w:r>
    </w:p>
    <w:p>
      <w:pPr>
        <w:pStyle w:val="66"/>
        <w:spacing w:line="520" w:lineRule="exact"/>
        <w:ind w:firstLine="480"/>
        <w:rPr>
          <w:color w:val="auto"/>
          <w:highlight w:val="none"/>
        </w:rPr>
      </w:pPr>
      <w:r>
        <w:rPr>
          <w:rFonts w:hint="eastAsia"/>
          <w:color w:val="auto"/>
          <w:highlight w:val="none"/>
        </w:rPr>
        <w:t>采购项目预算金额，设定最高限价的，还应当公开最高限价；</w:t>
      </w:r>
    </w:p>
    <w:p>
      <w:pPr>
        <w:pStyle w:val="66"/>
        <w:spacing w:line="520" w:lineRule="exact"/>
        <w:ind w:firstLine="480"/>
        <w:rPr>
          <w:color w:val="auto"/>
          <w:highlight w:val="none"/>
        </w:rPr>
      </w:pPr>
      <w:r>
        <w:rPr>
          <w:rFonts w:hint="eastAsia"/>
          <w:color w:val="auto"/>
          <w:highlight w:val="none"/>
        </w:rPr>
        <w:t>采购项目的技术规格、数量、服务标准、验收等要求，包括附件、图纸(如涉及)等；</w:t>
      </w:r>
    </w:p>
    <w:p>
      <w:pPr>
        <w:pStyle w:val="66"/>
        <w:spacing w:line="520" w:lineRule="exact"/>
        <w:ind w:firstLine="480"/>
        <w:rPr>
          <w:color w:val="auto"/>
          <w:highlight w:val="none"/>
        </w:rPr>
      </w:pPr>
      <w:r>
        <w:rPr>
          <w:rFonts w:hint="eastAsia"/>
          <w:color w:val="auto"/>
          <w:highlight w:val="none"/>
        </w:rPr>
        <w:t>拟签订的采购合同；</w:t>
      </w:r>
    </w:p>
    <w:p>
      <w:pPr>
        <w:pStyle w:val="66"/>
        <w:spacing w:line="520" w:lineRule="exact"/>
        <w:ind w:firstLine="480"/>
        <w:rPr>
          <w:color w:val="auto"/>
          <w:highlight w:val="none"/>
        </w:rPr>
      </w:pPr>
      <w:r>
        <w:rPr>
          <w:rFonts w:hint="eastAsia"/>
          <w:color w:val="auto"/>
          <w:highlight w:val="none"/>
        </w:rPr>
        <w:t>货物、服务提供的时间、地点、方式；</w:t>
      </w:r>
    </w:p>
    <w:p>
      <w:pPr>
        <w:pStyle w:val="66"/>
        <w:spacing w:line="520" w:lineRule="exact"/>
        <w:ind w:firstLine="480"/>
        <w:rPr>
          <w:color w:val="auto"/>
          <w:highlight w:val="none"/>
        </w:rPr>
      </w:pPr>
      <w:r>
        <w:rPr>
          <w:rFonts w:hint="eastAsia"/>
          <w:color w:val="auto"/>
          <w:highlight w:val="none"/>
        </w:rPr>
        <w:t>采购资金的支付方式、时间、条件；</w:t>
      </w:r>
    </w:p>
    <w:p>
      <w:pPr>
        <w:pStyle w:val="66"/>
        <w:spacing w:line="520" w:lineRule="exact"/>
        <w:ind w:firstLine="480"/>
        <w:rPr>
          <w:color w:val="auto"/>
          <w:highlight w:val="none"/>
        </w:rPr>
      </w:pPr>
      <w:r>
        <w:rPr>
          <w:rFonts w:hint="eastAsia"/>
          <w:color w:val="auto"/>
          <w:highlight w:val="none"/>
        </w:rPr>
        <w:t>评标方法、评标标准和投标无效情形；</w:t>
      </w:r>
    </w:p>
    <w:p>
      <w:pPr>
        <w:pStyle w:val="66"/>
        <w:spacing w:line="520" w:lineRule="exact"/>
        <w:ind w:firstLine="480"/>
        <w:rPr>
          <w:color w:val="auto"/>
          <w:highlight w:val="none"/>
        </w:rPr>
      </w:pPr>
      <w:r>
        <w:rPr>
          <w:rFonts w:hint="eastAsia"/>
          <w:color w:val="auto"/>
          <w:highlight w:val="none"/>
        </w:rPr>
        <w:t>投标有效期；</w:t>
      </w:r>
    </w:p>
    <w:p>
      <w:pPr>
        <w:pStyle w:val="66"/>
        <w:spacing w:line="520" w:lineRule="exact"/>
        <w:ind w:firstLine="480"/>
        <w:rPr>
          <w:color w:val="auto"/>
          <w:highlight w:val="none"/>
        </w:rPr>
      </w:pPr>
      <w:r>
        <w:rPr>
          <w:rFonts w:hint="eastAsia"/>
          <w:color w:val="auto"/>
          <w:highlight w:val="none"/>
        </w:rPr>
        <w:t>投标截止时间、开标时间及地点；</w:t>
      </w:r>
    </w:p>
    <w:p>
      <w:pPr>
        <w:pStyle w:val="66"/>
        <w:spacing w:line="520" w:lineRule="exact"/>
        <w:ind w:firstLine="480"/>
        <w:rPr>
          <w:color w:val="auto"/>
          <w:highlight w:val="none"/>
        </w:rPr>
      </w:pPr>
      <w:r>
        <w:rPr>
          <w:rFonts w:hint="eastAsia"/>
          <w:color w:val="auto"/>
          <w:highlight w:val="none"/>
        </w:rPr>
        <w:t>采购代理机构代理费用的收取标准和方式；</w:t>
      </w:r>
    </w:p>
    <w:p>
      <w:pPr>
        <w:pStyle w:val="66"/>
        <w:spacing w:line="520" w:lineRule="exact"/>
        <w:ind w:firstLine="480"/>
        <w:rPr>
          <w:color w:val="auto"/>
          <w:highlight w:val="none"/>
        </w:rPr>
      </w:pPr>
      <w:r>
        <w:rPr>
          <w:rFonts w:hint="eastAsia"/>
          <w:color w:val="auto"/>
          <w:highlight w:val="none"/>
        </w:rPr>
        <w:t>投标人信用信息查询渠道及截止时点、信用信息查询记录和证据留存的具体方式、信用信息的使用规则等；</w:t>
      </w:r>
    </w:p>
    <w:p>
      <w:pPr>
        <w:pStyle w:val="66"/>
        <w:spacing w:line="520" w:lineRule="exact"/>
        <w:ind w:firstLine="480"/>
        <w:rPr>
          <w:color w:val="auto"/>
          <w:highlight w:val="none"/>
        </w:rPr>
      </w:pPr>
      <w:r>
        <w:rPr>
          <w:rFonts w:hint="eastAsia"/>
          <w:color w:val="auto"/>
          <w:highlight w:val="none"/>
        </w:rPr>
        <w:t>省级以上财政部门规定的其他事项。</w:t>
      </w:r>
    </w:p>
    <w:p>
      <w:pPr>
        <w:pStyle w:val="65"/>
        <w:numPr>
          <w:ilvl w:val="3"/>
          <w:numId w:val="15"/>
        </w:numPr>
        <w:spacing w:line="520" w:lineRule="exact"/>
        <w:ind w:firstLine="480"/>
        <w:rPr>
          <w:color w:val="auto"/>
          <w:highlight w:val="none"/>
        </w:rPr>
      </w:pPr>
      <w:r>
        <w:rPr>
          <w:rFonts w:hint="eastAsia"/>
          <w:color w:val="auto"/>
          <w:highlight w:val="none"/>
        </w:rPr>
        <w:t>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51"/>
        <w:spacing w:line="520" w:lineRule="exact"/>
        <w:ind w:firstLine="482"/>
        <w:rPr>
          <w:color w:val="auto"/>
          <w:highlight w:val="none"/>
        </w:rPr>
      </w:pPr>
      <w:bookmarkStart w:id="191" w:name="_Toc183682348"/>
      <w:bookmarkStart w:id="192" w:name="_Toc183582211"/>
      <w:bookmarkStart w:id="193" w:name="_Toc319439884"/>
      <w:bookmarkStart w:id="194" w:name="_Toc25894"/>
      <w:bookmarkStart w:id="195" w:name="_Toc7541"/>
      <w:bookmarkStart w:id="196" w:name="_Toc11995"/>
      <w:bookmarkStart w:id="197" w:name="_Toc17632"/>
      <w:bookmarkStart w:id="198" w:name="_Toc16401"/>
      <w:bookmarkStart w:id="199" w:name="_Toc308084581"/>
      <w:bookmarkStart w:id="200" w:name="_Toc307564836"/>
      <w:bookmarkStart w:id="201" w:name="_Toc31172"/>
      <w:bookmarkStart w:id="202" w:name="_Toc217446040"/>
      <w:bookmarkStart w:id="203" w:name="_Toc308188136"/>
      <w:bookmarkStart w:id="204" w:name="_Toc327196270"/>
      <w:bookmarkStart w:id="205" w:name="_Toc26020"/>
      <w:bookmarkStart w:id="206" w:name="_Toc27550"/>
      <w:bookmarkStart w:id="207" w:name="_Toc27690"/>
      <w:bookmarkStart w:id="208" w:name="_Toc13600"/>
      <w:bookmarkStart w:id="209" w:name="_Toc309897499"/>
      <w:bookmarkStart w:id="210" w:name="_Toc307501093"/>
      <w:bookmarkStart w:id="211" w:name="_Toc16291"/>
      <w:bookmarkStart w:id="212" w:name="_Toc19612"/>
      <w:bookmarkStart w:id="213" w:name="_Toc22085"/>
      <w:bookmarkStart w:id="214" w:name="_Toc319440126"/>
      <w:r>
        <w:rPr>
          <w:rFonts w:hint="eastAsia"/>
          <w:color w:val="auto"/>
          <w:highlight w:val="none"/>
        </w:rPr>
        <w:t>招标文件的澄清</w:t>
      </w:r>
      <w:bookmarkEnd w:id="191"/>
      <w:bookmarkEnd w:id="192"/>
      <w:r>
        <w:rPr>
          <w:rFonts w:hint="eastAsia"/>
          <w:color w:val="auto"/>
          <w:highlight w:val="none"/>
        </w:rPr>
        <w:t>和修改</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pPr>
        <w:pStyle w:val="65"/>
        <w:spacing w:line="520" w:lineRule="exact"/>
        <w:ind w:firstLine="480"/>
        <w:rPr>
          <w:color w:val="auto"/>
          <w:highlight w:val="none"/>
        </w:rPr>
      </w:pPr>
      <w:bookmarkStart w:id="215" w:name="_Toc2637"/>
      <w:bookmarkStart w:id="216" w:name="_Toc3159"/>
      <w:bookmarkStart w:id="217" w:name="_Toc7026"/>
      <w:bookmarkStart w:id="218" w:name="_Toc24226"/>
      <w:bookmarkStart w:id="219" w:name="_Toc8838"/>
      <w:bookmarkStart w:id="220" w:name="_Toc319440127"/>
      <w:bookmarkStart w:id="221" w:name="_Toc307564837"/>
      <w:bookmarkStart w:id="222" w:name="_Toc307501094"/>
      <w:bookmarkStart w:id="223" w:name="_Toc9735"/>
      <w:bookmarkStart w:id="224" w:name="_Toc6811"/>
      <w:bookmarkStart w:id="225" w:name="_Toc3361"/>
      <w:bookmarkStart w:id="226" w:name="_Toc327196271"/>
      <w:bookmarkStart w:id="227" w:name="_Toc217446041"/>
      <w:bookmarkStart w:id="228" w:name="_Toc309897500"/>
      <w:bookmarkStart w:id="229" w:name="_Toc308188137"/>
      <w:bookmarkStart w:id="230" w:name="_Toc319439885"/>
      <w:bookmarkStart w:id="231" w:name="_Toc308084582"/>
      <w:bookmarkStart w:id="232" w:name="_Toc208848971"/>
      <w:bookmarkStart w:id="233" w:name="_Toc17111"/>
      <w:bookmarkStart w:id="234" w:name="_Toc22061"/>
      <w:r>
        <w:rPr>
          <w:rFonts w:hint="eastAsia"/>
          <w:color w:val="auto"/>
          <w:highlight w:val="none"/>
        </w:rPr>
        <w:t>在投标截止时间前，招标采购单位无论出于何种原因，可以对招标文件进行澄清或者修改；投标人认为需要对招标文件进行澄清或者修改的，以书面形式向招标采购单位提出申请，但招标采购单位可以决定是否采纳投标人的申请事项。</w:t>
      </w:r>
    </w:p>
    <w:p>
      <w:pPr>
        <w:pStyle w:val="65"/>
        <w:spacing w:line="520" w:lineRule="exact"/>
        <w:ind w:firstLine="480"/>
        <w:rPr>
          <w:color w:val="auto"/>
          <w:highlight w:val="none"/>
        </w:rPr>
      </w:pPr>
      <w:r>
        <w:rPr>
          <w:rFonts w:hint="eastAsia"/>
          <w:color w:val="auto"/>
          <w:highlight w:val="none"/>
        </w:rPr>
        <w:t>招标采购单位对已发出的招标文件进行澄清或者修改，澄清或者修改的内容可能影响投标文件编制的，采购人或者采购代理机构应当在投标截止时间至少15日前，以公告形式通知所有获取招标文件的潜在投标人；不足15日的，采购人或者采购代理机构应当顺延提交投标文件的截止时间。</w:t>
      </w:r>
    </w:p>
    <w:p>
      <w:pPr>
        <w:pStyle w:val="65"/>
        <w:spacing w:line="520" w:lineRule="exact"/>
        <w:ind w:firstLine="482"/>
        <w:rPr>
          <w:b/>
          <w:bCs/>
          <w:color w:val="auto"/>
          <w:highlight w:val="none"/>
        </w:rPr>
      </w:pPr>
      <w:r>
        <w:rPr>
          <w:rFonts w:hint="eastAsia"/>
          <w:b/>
          <w:bCs/>
          <w:color w:val="auto"/>
          <w:highlight w:val="none"/>
        </w:rPr>
        <w:t>投标人应于投标文件递交截止时间之前在</w:t>
      </w:r>
      <w:r>
        <w:rPr>
          <w:rFonts w:hint="eastAsia"/>
          <w:b/>
          <w:bCs/>
          <w:color w:val="auto"/>
          <w:highlight w:val="none"/>
          <w:lang w:eastAsia="zh-CN"/>
        </w:rPr>
        <w:t>“中国招标投标公共服务平台”</w:t>
      </w:r>
      <w:r>
        <w:rPr>
          <w:rFonts w:hint="eastAsia"/>
          <w:b/>
          <w:bCs/>
          <w:color w:val="auto"/>
          <w:highlight w:val="none"/>
        </w:rPr>
        <w:t>查询本项目的更正公告，以保证其对招标文件做出准确的响应。投标人未及时关注更正公告的信息造成的不利后果，其责任由投标人自行负责。</w:t>
      </w:r>
    </w:p>
    <w:p>
      <w:pPr>
        <w:pStyle w:val="51"/>
        <w:spacing w:line="520" w:lineRule="exact"/>
        <w:ind w:firstLine="482"/>
        <w:rPr>
          <w:color w:val="auto"/>
          <w:highlight w:val="none"/>
        </w:rPr>
      </w:pPr>
      <w:bookmarkStart w:id="235" w:name="_Toc32319"/>
      <w:bookmarkStart w:id="236" w:name="_Toc31570"/>
      <w:bookmarkStart w:id="237" w:name="_Toc3070"/>
      <w:r>
        <w:rPr>
          <w:rFonts w:hint="eastAsia"/>
          <w:color w:val="auto"/>
          <w:highlight w:val="none"/>
        </w:rPr>
        <w:t>答疑会和现场考察</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pPr>
        <w:pStyle w:val="65"/>
        <w:spacing w:line="520" w:lineRule="exact"/>
        <w:ind w:firstLine="480"/>
        <w:rPr>
          <w:color w:val="auto"/>
          <w:highlight w:val="none"/>
        </w:rPr>
      </w:pPr>
      <w:bookmarkStart w:id="238" w:name="_Toc183582214"/>
      <w:bookmarkStart w:id="239" w:name="_Toc20199"/>
      <w:bookmarkStart w:id="240" w:name="_Toc89075876"/>
      <w:bookmarkStart w:id="241" w:name="_Toc183682351"/>
      <w:bookmarkStart w:id="242" w:name="_Toc327196272"/>
      <w:bookmarkStart w:id="243" w:name="_Toc217446042"/>
      <w:bookmarkStart w:id="244" w:name="_Toc77400780"/>
      <w:r>
        <w:rPr>
          <w:rFonts w:hint="eastAsia"/>
          <w:color w:val="auto"/>
          <w:highlight w:val="none"/>
        </w:rPr>
        <w:t>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65"/>
        <w:spacing w:line="520" w:lineRule="exact"/>
        <w:ind w:firstLine="480"/>
        <w:rPr>
          <w:color w:val="auto"/>
          <w:highlight w:val="none"/>
        </w:rPr>
      </w:pPr>
      <w:r>
        <w:rPr>
          <w:rFonts w:hint="eastAsia"/>
          <w:color w:val="auto"/>
          <w:highlight w:val="none"/>
        </w:rPr>
        <w:t>投标人考察现场所发生的一切费用由投标人自行承担。</w:t>
      </w:r>
    </w:p>
    <w:p>
      <w:pPr>
        <w:pStyle w:val="45"/>
        <w:spacing w:before="120" w:after="120" w:line="520" w:lineRule="exact"/>
        <w:rPr>
          <w:color w:val="auto"/>
          <w:highlight w:val="none"/>
        </w:rPr>
      </w:pPr>
      <w:bookmarkStart w:id="245" w:name="_Toc615"/>
      <w:bookmarkStart w:id="246" w:name="_Toc24075"/>
      <w:bookmarkStart w:id="247" w:name="_Toc16131"/>
      <w:bookmarkStart w:id="248" w:name="_Toc27479"/>
      <w:bookmarkStart w:id="249" w:name="_Toc27956"/>
      <w:r>
        <w:rPr>
          <w:rFonts w:hint="eastAsia"/>
          <w:color w:val="auto"/>
          <w:highlight w:val="none"/>
        </w:rPr>
        <w:t>投标文件</w:t>
      </w:r>
      <w:bookmarkEnd w:id="238"/>
      <w:bookmarkEnd w:id="239"/>
      <w:bookmarkEnd w:id="240"/>
      <w:bookmarkEnd w:id="241"/>
      <w:bookmarkEnd w:id="242"/>
      <w:bookmarkEnd w:id="243"/>
      <w:bookmarkEnd w:id="244"/>
      <w:bookmarkEnd w:id="245"/>
      <w:bookmarkEnd w:id="246"/>
      <w:bookmarkEnd w:id="247"/>
      <w:bookmarkEnd w:id="248"/>
      <w:bookmarkEnd w:id="249"/>
    </w:p>
    <w:p>
      <w:pPr>
        <w:pStyle w:val="51"/>
        <w:numPr>
          <w:ilvl w:val="2"/>
          <w:numId w:val="16"/>
        </w:numPr>
        <w:spacing w:line="520" w:lineRule="exact"/>
        <w:ind w:firstLine="482"/>
        <w:rPr>
          <w:color w:val="auto"/>
          <w:highlight w:val="none"/>
        </w:rPr>
      </w:pPr>
      <w:bookmarkStart w:id="250" w:name="_Toc307501096"/>
      <w:bookmarkStart w:id="251" w:name="_Toc23564"/>
      <w:bookmarkStart w:id="252" w:name="_Toc27053"/>
      <w:bookmarkStart w:id="253" w:name="_Toc327196273"/>
      <w:bookmarkStart w:id="254" w:name="_Toc319440129"/>
      <w:bookmarkStart w:id="255" w:name="_Toc29330"/>
      <w:bookmarkStart w:id="256" w:name="_Toc21169"/>
      <w:bookmarkStart w:id="257" w:name="_Toc217446043"/>
      <w:bookmarkStart w:id="258" w:name="_Toc183582215"/>
      <w:bookmarkStart w:id="259" w:name="_Toc183682352"/>
      <w:bookmarkStart w:id="260" w:name="_Toc2601"/>
      <w:bookmarkStart w:id="261" w:name="_Toc308084584"/>
      <w:bookmarkStart w:id="262" w:name="_Toc308188139"/>
      <w:bookmarkStart w:id="263" w:name="_Toc1641"/>
      <w:bookmarkStart w:id="264" w:name="_Toc309897502"/>
      <w:bookmarkStart w:id="265" w:name="_Toc3041"/>
      <w:bookmarkStart w:id="266" w:name="_Toc307564839"/>
      <w:bookmarkStart w:id="267" w:name="_Toc319439887"/>
      <w:bookmarkStart w:id="268" w:name="_Toc26076"/>
      <w:bookmarkStart w:id="269" w:name="_Toc21085"/>
      <w:bookmarkStart w:id="270" w:name="_Toc11217"/>
      <w:bookmarkStart w:id="271" w:name="_Toc20379"/>
      <w:bookmarkStart w:id="272" w:name="_Toc14178"/>
      <w:bookmarkStart w:id="273" w:name="_Toc8388"/>
      <w:r>
        <w:rPr>
          <w:rFonts w:hint="eastAsia"/>
          <w:color w:val="auto"/>
          <w:highlight w:val="none"/>
        </w:rPr>
        <w:t>投标文件的语言</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Pr>
          <w:rFonts w:hint="eastAsia"/>
          <w:color w:val="auto"/>
          <w:highlight w:val="none"/>
        </w:rPr>
        <w:t>(实质性要求)</w:t>
      </w:r>
      <w:bookmarkEnd w:id="269"/>
      <w:bookmarkEnd w:id="270"/>
      <w:bookmarkEnd w:id="271"/>
      <w:bookmarkEnd w:id="272"/>
      <w:bookmarkEnd w:id="273"/>
    </w:p>
    <w:p>
      <w:pPr>
        <w:pStyle w:val="65"/>
        <w:spacing w:line="520" w:lineRule="exact"/>
        <w:ind w:firstLine="480"/>
        <w:rPr>
          <w:color w:val="auto"/>
          <w:highlight w:val="none"/>
        </w:rPr>
      </w:pPr>
      <w:r>
        <w:rPr>
          <w:rFonts w:hint="eastAsia"/>
          <w:color w:val="auto"/>
          <w:highlight w:val="none"/>
        </w:rPr>
        <w:t>投标人提交的投标文件以及投标人与招标采购单位就有关投标的所有来往书面文件均须使用中文。投标文件中如附有外文资料，必须逐一对应翻译成中文并加盖投标人公章后附在相关外文资料后面，否则，视为未提供该资料。对于供应商的法定代表人为外籍人士的，法定代表人的签字和护照、行业标准、国家标准、国际标准或行业认证等需要以非中文表述且不宜翻译为中文的除外。</w:t>
      </w:r>
    </w:p>
    <w:p>
      <w:pPr>
        <w:pStyle w:val="65"/>
        <w:spacing w:line="520" w:lineRule="exact"/>
        <w:ind w:firstLine="480"/>
        <w:rPr>
          <w:color w:val="auto"/>
          <w:highlight w:val="none"/>
        </w:rPr>
      </w:pPr>
      <w:r>
        <w:rPr>
          <w:rFonts w:hint="eastAsia"/>
          <w:color w:val="auto"/>
          <w:highlight w:val="none"/>
        </w:rPr>
        <w:t>翻译的中文资料与外文资料如果出现差异和矛盾时，以中文为准。但不能故意错误翻译，否则，投标人的投标文件将作为无效投标处理。</w:t>
      </w:r>
    </w:p>
    <w:p>
      <w:pPr>
        <w:pStyle w:val="51"/>
        <w:spacing w:line="520" w:lineRule="exact"/>
        <w:ind w:firstLine="482"/>
        <w:rPr>
          <w:color w:val="auto"/>
          <w:highlight w:val="none"/>
        </w:rPr>
      </w:pPr>
      <w:bookmarkStart w:id="274" w:name="_Toc183682353"/>
      <w:bookmarkStart w:id="275" w:name="_Toc20091"/>
      <w:bookmarkStart w:id="276" w:name="_Toc17444"/>
      <w:bookmarkStart w:id="277" w:name="_Toc12195"/>
      <w:bookmarkStart w:id="278" w:name="_Toc11901"/>
      <w:bookmarkStart w:id="279" w:name="_Toc183582216"/>
      <w:bookmarkStart w:id="280" w:name="_Toc319440130"/>
      <w:bookmarkStart w:id="281" w:name="_Toc15226"/>
      <w:bookmarkStart w:id="282" w:name="_Toc308084585"/>
      <w:bookmarkStart w:id="283" w:name="_Toc309897503"/>
      <w:bookmarkStart w:id="284" w:name="_Toc327196274"/>
      <w:bookmarkStart w:id="285" w:name="_Toc307564840"/>
      <w:bookmarkStart w:id="286" w:name="_Toc308188140"/>
      <w:bookmarkStart w:id="287" w:name="_Toc319439888"/>
      <w:bookmarkStart w:id="288" w:name="_Toc307501097"/>
      <w:bookmarkStart w:id="289" w:name="_Toc217446044"/>
      <w:bookmarkStart w:id="290" w:name="_Toc2379"/>
      <w:bookmarkStart w:id="291" w:name="_Toc20188"/>
      <w:bookmarkStart w:id="292" w:name="_Toc15145"/>
      <w:bookmarkStart w:id="293" w:name="_Toc18700"/>
      <w:bookmarkStart w:id="294" w:name="_Toc12658"/>
      <w:bookmarkStart w:id="295" w:name="_Toc17607"/>
      <w:bookmarkStart w:id="296" w:name="_Toc10594"/>
      <w:bookmarkStart w:id="297" w:name="_Toc21033"/>
      <w:r>
        <w:rPr>
          <w:rFonts w:hint="eastAsia"/>
          <w:color w:val="auto"/>
          <w:highlight w:val="none"/>
        </w:rPr>
        <w:t>计量单位</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Pr>
          <w:rFonts w:hint="eastAsia"/>
          <w:color w:val="auto"/>
          <w:highlight w:val="none"/>
        </w:rPr>
        <w:t>(实质性要求)</w:t>
      </w:r>
      <w:bookmarkEnd w:id="293"/>
      <w:bookmarkEnd w:id="294"/>
      <w:bookmarkEnd w:id="295"/>
      <w:bookmarkEnd w:id="296"/>
      <w:bookmarkEnd w:id="297"/>
    </w:p>
    <w:p>
      <w:pPr>
        <w:pStyle w:val="48"/>
        <w:spacing w:line="520" w:lineRule="exact"/>
        <w:rPr>
          <w:color w:val="auto"/>
          <w:highlight w:val="none"/>
        </w:rPr>
      </w:pPr>
      <w:r>
        <w:rPr>
          <w:rFonts w:hint="eastAsia"/>
          <w:color w:val="auto"/>
          <w:highlight w:val="none"/>
        </w:rPr>
        <w:t>除技术规格及要求中另有规定外，本采购项下的投标均采用国家法定的计量单位。</w:t>
      </w:r>
    </w:p>
    <w:p>
      <w:pPr>
        <w:pStyle w:val="51"/>
        <w:spacing w:line="520" w:lineRule="exact"/>
        <w:ind w:firstLine="482"/>
        <w:rPr>
          <w:color w:val="auto"/>
          <w:highlight w:val="none"/>
        </w:rPr>
      </w:pPr>
      <w:bookmarkStart w:id="298" w:name="_Toc15435"/>
      <w:bookmarkStart w:id="299" w:name="_Toc16798"/>
      <w:bookmarkStart w:id="300" w:name="_Toc8881"/>
      <w:bookmarkStart w:id="301" w:name="_Toc308188141"/>
      <w:bookmarkStart w:id="302" w:name="_Toc319439889"/>
      <w:bookmarkStart w:id="303" w:name="_Toc309897504"/>
      <w:bookmarkStart w:id="304" w:name="_Toc319440131"/>
      <w:bookmarkStart w:id="305" w:name="_Toc25216"/>
      <w:bookmarkStart w:id="306" w:name="_Toc327196275"/>
      <w:bookmarkStart w:id="307" w:name="_Toc308084586"/>
      <w:bookmarkStart w:id="308" w:name="_Toc307564841"/>
      <w:bookmarkStart w:id="309" w:name="_Toc307501098"/>
      <w:bookmarkStart w:id="310" w:name="_Toc217446045"/>
      <w:bookmarkStart w:id="311" w:name="_Toc22739"/>
      <w:bookmarkStart w:id="312" w:name="_Toc24761"/>
      <w:bookmarkStart w:id="313" w:name="_Toc698"/>
      <w:bookmarkStart w:id="314" w:name="_Toc8803"/>
      <w:bookmarkStart w:id="315" w:name="_Toc11633"/>
      <w:bookmarkStart w:id="316" w:name="_Toc19960"/>
      <w:bookmarkStart w:id="317" w:name="_Toc20780"/>
      <w:bookmarkStart w:id="318" w:name="_Toc10217"/>
      <w:bookmarkStart w:id="319" w:name="_Toc20877"/>
      <w:r>
        <w:rPr>
          <w:rFonts w:hint="eastAsia"/>
          <w:color w:val="auto"/>
          <w:highlight w:val="none"/>
        </w:rPr>
        <w:t>投标货币</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Pr>
          <w:rFonts w:hint="eastAsia"/>
          <w:color w:val="auto"/>
          <w:highlight w:val="none"/>
        </w:rPr>
        <w:t>(实质性要求)</w:t>
      </w:r>
      <w:bookmarkEnd w:id="315"/>
      <w:bookmarkEnd w:id="316"/>
      <w:bookmarkEnd w:id="317"/>
      <w:bookmarkEnd w:id="318"/>
      <w:bookmarkEnd w:id="319"/>
    </w:p>
    <w:p>
      <w:pPr>
        <w:pStyle w:val="48"/>
        <w:spacing w:line="520" w:lineRule="exact"/>
        <w:rPr>
          <w:color w:val="auto"/>
          <w:highlight w:val="none"/>
        </w:rPr>
      </w:pPr>
      <w:r>
        <w:rPr>
          <w:rFonts w:hint="eastAsia"/>
          <w:color w:val="auto"/>
          <w:highlight w:val="none"/>
        </w:rPr>
        <w:t>本次招标项目的投标以</w:t>
      </w:r>
      <w:r>
        <w:rPr>
          <w:rFonts w:hint="eastAsia"/>
          <w:color w:val="auto"/>
          <w:highlight w:val="none"/>
          <w:lang w:val="en-US" w:eastAsia="zh-CN"/>
        </w:rPr>
        <w:t>下浮率进行报价以及作为最终结算的依据</w:t>
      </w:r>
      <w:r>
        <w:rPr>
          <w:rFonts w:hint="eastAsia"/>
          <w:color w:val="auto"/>
          <w:highlight w:val="none"/>
        </w:rPr>
        <w:t>。</w:t>
      </w:r>
    </w:p>
    <w:p>
      <w:pPr>
        <w:pStyle w:val="51"/>
        <w:spacing w:line="520" w:lineRule="exact"/>
        <w:ind w:firstLine="482"/>
        <w:rPr>
          <w:color w:val="auto"/>
          <w:highlight w:val="none"/>
        </w:rPr>
      </w:pPr>
      <w:bookmarkStart w:id="320" w:name="_Toc21797"/>
      <w:bookmarkStart w:id="321" w:name="_Toc15074"/>
      <w:bookmarkStart w:id="322" w:name="_Toc8550"/>
      <w:bookmarkStart w:id="323" w:name="_Toc319439890"/>
      <w:bookmarkStart w:id="324" w:name="_Toc217446046"/>
      <w:bookmarkStart w:id="325" w:name="_Toc319440132"/>
      <w:bookmarkStart w:id="326" w:name="_Toc16409"/>
      <w:bookmarkStart w:id="327" w:name="_Toc21894"/>
      <w:bookmarkStart w:id="328" w:name="_Toc25266"/>
      <w:bookmarkStart w:id="329" w:name="_Toc308084587"/>
      <w:bookmarkStart w:id="330" w:name="_Toc25923"/>
      <w:bookmarkStart w:id="331" w:name="_Toc7935"/>
      <w:bookmarkStart w:id="332" w:name="_Toc32108"/>
      <w:bookmarkStart w:id="333" w:name="_Toc327196276"/>
      <w:bookmarkStart w:id="334" w:name="_Toc307501099"/>
      <w:bookmarkStart w:id="335" w:name="_Toc32667"/>
      <w:bookmarkStart w:id="336" w:name="_Toc309897505"/>
      <w:bookmarkStart w:id="337" w:name="_Toc24432"/>
      <w:bookmarkStart w:id="338" w:name="_Toc4336"/>
      <w:bookmarkStart w:id="339" w:name="_Toc308188142"/>
      <w:bookmarkStart w:id="340" w:name="_Toc307564842"/>
      <w:bookmarkStart w:id="341" w:name="_Toc9453"/>
      <w:bookmarkStart w:id="342" w:name="_Toc25097"/>
      <w:bookmarkStart w:id="343" w:name="_Toc308188143"/>
      <w:bookmarkStart w:id="344" w:name="_Toc30958"/>
      <w:bookmarkStart w:id="345" w:name="_Toc217446047"/>
      <w:bookmarkStart w:id="346" w:name="_Toc7819"/>
      <w:bookmarkStart w:id="347" w:name="_Toc308084588"/>
      <w:bookmarkStart w:id="348" w:name="_Toc319439891"/>
      <w:bookmarkStart w:id="349" w:name="_Toc307501100"/>
      <w:bookmarkStart w:id="350" w:name="_Toc10974"/>
      <w:bookmarkStart w:id="351" w:name="_Toc13754"/>
      <w:bookmarkStart w:id="352" w:name="_Toc18912"/>
      <w:bookmarkStart w:id="353" w:name="_Toc327196277"/>
      <w:bookmarkStart w:id="354" w:name="_Toc309897506"/>
      <w:bookmarkStart w:id="355" w:name="_Toc27877"/>
      <w:bookmarkStart w:id="356" w:name="_Toc319440133"/>
      <w:bookmarkStart w:id="357" w:name="_Toc307564843"/>
      <w:bookmarkStart w:id="358" w:name="_Toc3781"/>
      <w:bookmarkStart w:id="359" w:name="_Toc2050"/>
      <w:bookmarkStart w:id="360" w:name="_Toc15468"/>
      <w:bookmarkStart w:id="361" w:name="_Toc9626"/>
      <w:r>
        <w:rPr>
          <w:rFonts w:hint="eastAsia"/>
          <w:color w:val="auto"/>
          <w:highlight w:val="none"/>
        </w:rPr>
        <w:t>联合体投标</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Pr>
          <w:rFonts w:hint="eastAsia"/>
          <w:color w:val="auto"/>
          <w:highlight w:val="none"/>
        </w:rPr>
        <w:t>(实质性要求)</w:t>
      </w:r>
      <w:bookmarkEnd w:id="341"/>
      <w:bookmarkEnd w:id="342"/>
    </w:p>
    <w:p>
      <w:pPr>
        <w:pStyle w:val="44"/>
        <w:spacing w:line="520" w:lineRule="exact"/>
        <w:ind w:firstLine="480" w:firstLineChars="200"/>
        <w:rPr>
          <w:color w:val="auto"/>
          <w:highlight w:val="none"/>
        </w:rPr>
      </w:pPr>
      <w:bookmarkStart w:id="362" w:name="_Toc30421"/>
      <w:r>
        <w:rPr>
          <w:rFonts w:hint="eastAsia"/>
          <w:color w:val="auto"/>
          <w:highlight w:val="none"/>
        </w:rPr>
        <w:t>本项目不接受联合体投标。</w:t>
      </w:r>
    </w:p>
    <w:p>
      <w:pPr>
        <w:pStyle w:val="51"/>
        <w:spacing w:line="520" w:lineRule="exact"/>
        <w:ind w:firstLine="482"/>
        <w:rPr>
          <w:color w:val="auto"/>
          <w:highlight w:val="none"/>
        </w:rPr>
      </w:pPr>
      <w:bookmarkStart w:id="363" w:name="_Toc22809"/>
      <w:bookmarkStart w:id="364" w:name="_Toc31235"/>
      <w:r>
        <w:rPr>
          <w:rFonts w:hint="eastAsia"/>
          <w:color w:val="auto"/>
          <w:highlight w:val="none"/>
        </w:rPr>
        <w:t>知识产权</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Pr>
          <w:rFonts w:hint="eastAsia"/>
          <w:color w:val="auto"/>
          <w:highlight w:val="none"/>
        </w:rPr>
        <w:t>(实质性要求)</w:t>
      </w:r>
      <w:bookmarkEnd w:id="360"/>
      <w:bookmarkEnd w:id="361"/>
      <w:bookmarkEnd w:id="362"/>
      <w:bookmarkEnd w:id="363"/>
      <w:bookmarkEnd w:id="364"/>
    </w:p>
    <w:p>
      <w:pPr>
        <w:pStyle w:val="65"/>
        <w:spacing w:line="520" w:lineRule="exact"/>
        <w:ind w:firstLine="480"/>
        <w:rPr>
          <w:color w:val="auto"/>
          <w:highlight w:val="none"/>
        </w:rPr>
      </w:pPr>
      <w:bookmarkStart w:id="365" w:name="_Toc319440134"/>
      <w:bookmarkStart w:id="366" w:name="_Toc10817"/>
      <w:bookmarkStart w:id="367" w:name="_Toc30708"/>
      <w:bookmarkStart w:id="368" w:name="_Toc327196278"/>
      <w:bookmarkStart w:id="369" w:name="_Toc308084589"/>
      <w:bookmarkStart w:id="370" w:name="_Toc8432"/>
      <w:bookmarkStart w:id="371" w:name="_Toc1140"/>
      <w:bookmarkStart w:id="372" w:name="_Toc7660"/>
      <w:bookmarkStart w:id="373" w:name="_Toc309897507"/>
      <w:bookmarkStart w:id="374" w:name="_Toc319439892"/>
      <w:bookmarkStart w:id="375" w:name="_Toc11856"/>
      <w:bookmarkStart w:id="376" w:name="_Toc307501101"/>
      <w:bookmarkStart w:id="377" w:name="_Toc183582217"/>
      <w:bookmarkStart w:id="378" w:name="_Toc307564844"/>
      <w:bookmarkStart w:id="379" w:name="_Toc6143"/>
      <w:bookmarkStart w:id="380" w:name="_Toc183682354"/>
      <w:bookmarkStart w:id="381" w:name="_Toc2706"/>
      <w:bookmarkStart w:id="382" w:name="_Toc217446048"/>
      <w:bookmarkStart w:id="383" w:name="_Toc16281"/>
      <w:bookmarkStart w:id="384" w:name="_Toc5369"/>
      <w:bookmarkStart w:id="385" w:name="_Toc308188144"/>
      <w:r>
        <w:rPr>
          <w:rFonts w:hint="eastAsia"/>
          <w:color w:val="auto"/>
          <w:highlight w:val="none"/>
        </w:rPr>
        <w:t>投标人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65"/>
        <w:spacing w:line="520" w:lineRule="exact"/>
        <w:ind w:firstLine="480"/>
        <w:rPr>
          <w:color w:val="auto"/>
          <w:highlight w:val="none"/>
        </w:rPr>
      </w:pPr>
      <w:r>
        <w:rPr>
          <w:rFonts w:hint="eastAsia"/>
          <w:color w:val="auto"/>
          <w:highlight w:val="none"/>
        </w:rPr>
        <w:t>采购人享有本项目实施过程中产生的知识成果及知识产权。</w:t>
      </w:r>
    </w:p>
    <w:p>
      <w:pPr>
        <w:pStyle w:val="65"/>
        <w:spacing w:line="520" w:lineRule="exact"/>
        <w:ind w:firstLine="480"/>
        <w:rPr>
          <w:color w:val="auto"/>
          <w:highlight w:val="none"/>
        </w:rPr>
      </w:pPr>
      <w:r>
        <w:rPr>
          <w:rFonts w:hint="eastAsia"/>
          <w:color w:val="auto"/>
          <w:highlight w:val="none"/>
        </w:rPr>
        <w:t>投标人如欲在项目实施过程中采用自有知识成果，需在投标文件中声明，并提供相关知识产权证明文件。使用该知识成果后，投标人需提供相关技术文档，并承诺提供无限期技术支持，采购人享有永久使用权，</w:t>
      </w:r>
      <w:r>
        <w:rPr>
          <w:color w:val="auto"/>
          <w:highlight w:val="none"/>
        </w:rPr>
        <w:t>同时需在投标文件中提供声明，并提供相关知识产权证明文件，否则视为投标人未在本项目实施过程中采用自有知识成果，不影响有效性</w:t>
      </w:r>
      <w:r>
        <w:rPr>
          <w:rFonts w:hint="eastAsia"/>
          <w:color w:val="auto"/>
          <w:highlight w:val="none"/>
        </w:rPr>
        <w:t>。</w:t>
      </w:r>
    </w:p>
    <w:p>
      <w:pPr>
        <w:pStyle w:val="65"/>
        <w:spacing w:line="520" w:lineRule="exact"/>
        <w:ind w:firstLine="480"/>
        <w:rPr>
          <w:color w:val="auto"/>
          <w:highlight w:val="none"/>
        </w:rPr>
      </w:pPr>
      <w:r>
        <w:rPr>
          <w:rFonts w:hint="eastAsia"/>
          <w:color w:val="auto"/>
          <w:highlight w:val="none"/>
        </w:rPr>
        <w:t xml:space="preserve">如采用投标人所不拥有的知识产权，则在投标报价中必须包括合法获取该知识产权的相关费用。 </w:t>
      </w:r>
    </w:p>
    <w:p>
      <w:pPr>
        <w:pStyle w:val="51"/>
        <w:spacing w:line="520" w:lineRule="exact"/>
        <w:ind w:firstLine="482"/>
        <w:rPr>
          <w:color w:val="auto"/>
          <w:highlight w:val="none"/>
        </w:rPr>
      </w:pPr>
      <w:bookmarkStart w:id="386" w:name="_Toc398"/>
      <w:bookmarkStart w:id="387" w:name="_Toc21389"/>
      <w:bookmarkStart w:id="388" w:name="_Toc28370"/>
      <w:r>
        <w:rPr>
          <w:rFonts w:hint="eastAsia"/>
          <w:color w:val="auto"/>
          <w:highlight w:val="none"/>
        </w:rPr>
        <w:t>投标文件的组成</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pPr>
        <w:pStyle w:val="48"/>
        <w:spacing w:line="520" w:lineRule="exact"/>
        <w:rPr>
          <w:color w:val="auto"/>
          <w:highlight w:val="none"/>
        </w:rPr>
      </w:pPr>
      <w:bookmarkStart w:id="389" w:name="_Toc183582218"/>
      <w:bookmarkStart w:id="390" w:name="_Toc217446049"/>
      <w:bookmarkStart w:id="391" w:name="_Toc183682355"/>
      <w:bookmarkStart w:id="392" w:name="_Toc307501102"/>
      <w:r>
        <w:rPr>
          <w:rFonts w:hint="eastAsia"/>
          <w:color w:val="auto"/>
          <w:highlight w:val="none"/>
        </w:rPr>
        <w:t>投标人应按照招标文件的规定和要求编制投标文件，否则视为无效投标。投标人拟在中标后将中标项目的非主体、非关键性工作交由他人完成的，应当在投标文件中载明。投标人编写的投标文件应包括以下两部分：</w:t>
      </w:r>
    </w:p>
    <w:p>
      <w:pPr>
        <w:pStyle w:val="65"/>
        <w:spacing w:line="520" w:lineRule="exact"/>
        <w:ind w:firstLine="482"/>
        <w:rPr>
          <w:b/>
          <w:bCs/>
          <w:color w:val="auto"/>
          <w:highlight w:val="none"/>
        </w:rPr>
      </w:pPr>
      <w:r>
        <w:rPr>
          <w:rFonts w:hint="eastAsia"/>
          <w:b/>
          <w:bCs/>
          <w:color w:val="auto"/>
          <w:highlight w:val="none"/>
        </w:rPr>
        <w:t>第一部分：资格、资质性及其他类似效力投标文件(用于资格审查)</w:t>
      </w:r>
    </w:p>
    <w:p>
      <w:pPr>
        <w:pStyle w:val="48"/>
        <w:spacing w:line="520" w:lineRule="exact"/>
        <w:rPr>
          <w:color w:val="auto"/>
          <w:highlight w:val="none"/>
        </w:rPr>
      </w:pPr>
      <w:r>
        <w:rPr>
          <w:rFonts w:hint="eastAsia"/>
          <w:color w:val="auto"/>
          <w:highlight w:val="none"/>
        </w:rPr>
        <w:t>按照招标文件第四、五章要求提供相关资格、资质性及其他类似效力要求的相关证明材料。</w:t>
      </w:r>
    </w:p>
    <w:p>
      <w:pPr>
        <w:pStyle w:val="65"/>
        <w:spacing w:line="520" w:lineRule="exact"/>
        <w:ind w:firstLine="482"/>
        <w:rPr>
          <w:b/>
          <w:bCs/>
          <w:color w:val="auto"/>
          <w:highlight w:val="none"/>
        </w:rPr>
      </w:pPr>
      <w:r>
        <w:rPr>
          <w:rFonts w:hint="eastAsia"/>
          <w:b/>
          <w:bCs/>
          <w:color w:val="auto"/>
          <w:highlight w:val="none"/>
        </w:rPr>
        <w:t>第二部分：其它投标文件(用于资格审查以外的评标)</w:t>
      </w:r>
    </w:p>
    <w:p>
      <w:pPr>
        <w:pStyle w:val="48"/>
        <w:spacing w:line="520" w:lineRule="exact"/>
        <w:rPr>
          <w:color w:val="auto"/>
          <w:highlight w:val="none"/>
        </w:rPr>
      </w:pPr>
      <w:r>
        <w:rPr>
          <w:rFonts w:hint="eastAsia"/>
          <w:color w:val="auto"/>
          <w:highlight w:val="none"/>
        </w:rPr>
        <w:t>按照招标文件要求提供以下相关材料：</w:t>
      </w:r>
    </w:p>
    <w:p>
      <w:pPr>
        <w:pStyle w:val="66"/>
        <w:spacing w:line="520" w:lineRule="exact"/>
        <w:ind w:firstLine="482"/>
        <w:rPr>
          <w:b/>
          <w:bCs/>
          <w:color w:val="auto"/>
          <w:highlight w:val="none"/>
        </w:rPr>
      </w:pPr>
      <w:r>
        <w:rPr>
          <w:rFonts w:hint="eastAsia"/>
          <w:b/>
          <w:bCs/>
          <w:color w:val="auto"/>
          <w:highlight w:val="none"/>
        </w:rPr>
        <w:t xml:space="preserve"> 报价部分</w:t>
      </w:r>
      <w:r>
        <w:rPr>
          <w:rFonts w:hint="eastAsia"/>
          <w:b/>
          <w:bCs/>
          <w:color w:val="auto"/>
          <w:highlight w:val="none"/>
          <w:lang w:val="zh-CN"/>
        </w:rPr>
        <w:t>(实质性要求)</w:t>
      </w:r>
    </w:p>
    <w:p>
      <w:pPr>
        <w:pStyle w:val="38"/>
        <w:numPr>
          <w:ilvl w:val="3"/>
          <w:numId w:val="0"/>
        </w:numPr>
        <w:spacing w:line="520" w:lineRule="exact"/>
        <w:ind w:left="480" w:leftChars="200"/>
        <w:rPr>
          <w:color w:val="auto"/>
          <w:highlight w:val="none"/>
        </w:rPr>
      </w:pPr>
      <w:r>
        <w:rPr>
          <w:rFonts w:hint="eastAsia"/>
          <w:color w:val="auto"/>
          <w:highlight w:val="none"/>
        </w:rPr>
        <w:t>投标人按照以下要求填写的“开标一览表”。本次招标报价要求：</w:t>
      </w:r>
    </w:p>
    <w:p>
      <w:pPr>
        <w:pStyle w:val="67"/>
        <w:spacing w:line="520" w:lineRule="exact"/>
        <w:ind w:firstLine="480"/>
        <w:rPr>
          <w:color w:val="auto"/>
          <w:highlight w:val="none"/>
        </w:rPr>
      </w:pPr>
      <w:r>
        <w:rPr>
          <w:rFonts w:hint="eastAsia"/>
          <w:color w:val="auto"/>
          <w:highlight w:val="none"/>
        </w:rPr>
        <w:t>投标人的报价是投标人响应招标项目要求的全部采购内容的价格体现，</w:t>
      </w:r>
      <w:r>
        <w:rPr>
          <w:rFonts w:hint="eastAsia"/>
          <w:b w:val="0"/>
          <w:bCs/>
          <w:color w:val="auto"/>
          <w:highlight w:val="none"/>
        </w:rPr>
        <w:t>包括但不限于测量</w:t>
      </w:r>
      <w:r>
        <w:rPr>
          <w:rFonts w:hint="eastAsia"/>
          <w:b w:val="0"/>
          <w:bCs/>
          <w:color w:val="auto"/>
          <w:highlight w:val="none"/>
          <w:lang w:eastAsia="zh-CN"/>
        </w:rPr>
        <w:t>、</w:t>
      </w:r>
      <w:r>
        <w:rPr>
          <w:rFonts w:hint="eastAsia"/>
          <w:b w:val="0"/>
          <w:bCs/>
          <w:color w:val="auto"/>
          <w:highlight w:val="none"/>
        </w:rPr>
        <w:t>服装设计</w:t>
      </w:r>
      <w:r>
        <w:rPr>
          <w:rFonts w:hint="eastAsia"/>
          <w:b w:val="0"/>
          <w:bCs/>
          <w:color w:val="auto"/>
          <w:highlight w:val="none"/>
          <w:lang w:eastAsia="zh-CN"/>
        </w:rPr>
        <w:t>、</w:t>
      </w:r>
      <w:r>
        <w:rPr>
          <w:rFonts w:hint="eastAsia"/>
          <w:b w:val="0"/>
          <w:bCs/>
          <w:color w:val="auto"/>
          <w:highlight w:val="none"/>
        </w:rPr>
        <w:t>原材料</w:t>
      </w:r>
      <w:r>
        <w:rPr>
          <w:rFonts w:hint="eastAsia"/>
          <w:b w:val="0"/>
          <w:bCs/>
          <w:color w:val="auto"/>
          <w:highlight w:val="none"/>
          <w:lang w:eastAsia="zh-CN"/>
        </w:rPr>
        <w:t>、</w:t>
      </w:r>
      <w:r>
        <w:rPr>
          <w:rFonts w:hint="eastAsia"/>
          <w:b w:val="0"/>
          <w:bCs/>
          <w:color w:val="auto"/>
          <w:highlight w:val="none"/>
        </w:rPr>
        <w:t>服装制作</w:t>
      </w:r>
      <w:r>
        <w:rPr>
          <w:rFonts w:hint="eastAsia"/>
          <w:b w:val="0"/>
          <w:bCs/>
          <w:color w:val="auto"/>
          <w:highlight w:val="none"/>
          <w:lang w:eastAsia="zh-CN"/>
        </w:rPr>
        <w:t>、</w:t>
      </w:r>
      <w:r>
        <w:rPr>
          <w:rFonts w:hint="eastAsia"/>
          <w:b w:val="0"/>
          <w:bCs/>
          <w:color w:val="auto"/>
          <w:highlight w:val="none"/>
        </w:rPr>
        <w:t>包装</w:t>
      </w:r>
      <w:r>
        <w:rPr>
          <w:rFonts w:hint="eastAsia"/>
          <w:b w:val="0"/>
          <w:bCs/>
          <w:color w:val="auto"/>
          <w:highlight w:val="none"/>
          <w:lang w:eastAsia="zh-CN"/>
        </w:rPr>
        <w:t>、</w:t>
      </w:r>
      <w:r>
        <w:rPr>
          <w:rFonts w:hint="eastAsia"/>
          <w:b w:val="0"/>
          <w:bCs/>
          <w:color w:val="auto"/>
          <w:highlight w:val="none"/>
        </w:rPr>
        <w:t>运输</w:t>
      </w:r>
      <w:r>
        <w:rPr>
          <w:rFonts w:hint="eastAsia"/>
          <w:b w:val="0"/>
          <w:bCs/>
          <w:color w:val="auto"/>
          <w:highlight w:val="none"/>
          <w:lang w:eastAsia="zh-CN"/>
        </w:rPr>
        <w:t>、</w:t>
      </w:r>
      <w:r>
        <w:rPr>
          <w:rFonts w:hint="eastAsia"/>
          <w:b w:val="0"/>
          <w:bCs/>
          <w:color w:val="auto"/>
          <w:highlight w:val="none"/>
        </w:rPr>
        <w:t>质检</w:t>
      </w:r>
      <w:r>
        <w:rPr>
          <w:rFonts w:hint="eastAsia"/>
          <w:b w:val="0"/>
          <w:bCs/>
          <w:color w:val="auto"/>
          <w:highlight w:val="none"/>
          <w:lang w:eastAsia="zh-CN"/>
        </w:rPr>
        <w:t>、</w:t>
      </w:r>
      <w:r>
        <w:rPr>
          <w:rFonts w:hint="eastAsia"/>
          <w:b w:val="0"/>
          <w:bCs/>
          <w:color w:val="auto"/>
          <w:highlight w:val="none"/>
        </w:rPr>
        <w:t>人工</w:t>
      </w:r>
      <w:r>
        <w:rPr>
          <w:rFonts w:hint="eastAsia"/>
          <w:b w:val="0"/>
          <w:bCs/>
          <w:color w:val="auto"/>
          <w:highlight w:val="none"/>
          <w:lang w:eastAsia="zh-CN"/>
        </w:rPr>
        <w:t>、</w:t>
      </w:r>
      <w:r>
        <w:rPr>
          <w:rFonts w:hint="eastAsia"/>
          <w:b w:val="0"/>
          <w:bCs/>
          <w:color w:val="auto"/>
          <w:highlight w:val="none"/>
        </w:rPr>
        <w:t>售后服务</w:t>
      </w:r>
      <w:r>
        <w:rPr>
          <w:rFonts w:hint="eastAsia"/>
          <w:b w:val="0"/>
          <w:bCs/>
          <w:color w:val="auto"/>
          <w:highlight w:val="none"/>
          <w:lang w:val="en-US" w:eastAsia="zh-CN"/>
        </w:rPr>
        <w:t>(发售、</w:t>
      </w:r>
      <w:r>
        <w:rPr>
          <w:rFonts w:hint="eastAsia"/>
          <w:b w:val="0"/>
          <w:bCs/>
          <w:color w:val="auto"/>
          <w:highlight w:val="none"/>
        </w:rPr>
        <w:t>修补</w:t>
      </w:r>
      <w:r>
        <w:rPr>
          <w:rFonts w:hint="eastAsia"/>
          <w:b w:val="0"/>
          <w:bCs/>
          <w:color w:val="auto"/>
          <w:highlight w:val="none"/>
          <w:lang w:eastAsia="zh-CN"/>
        </w:rPr>
        <w:t>、</w:t>
      </w:r>
      <w:r>
        <w:rPr>
          <w:rFonts w:hint="eastAsia"/>
          <w:b w:val="0"/>
          <w:bCs/>
          <w:color w:val="auto"/>
          <w:highlight w:val="none"/>
        </w:rPr>
        <w:t>更换</w:t>
      </w:r>
      <w:r>
        <w:rPr>
          <w:rFonts w:hint="eastAsia"/>
          <w:b w:val="0"/>
          <w:bCs/>
          <w:color w:val="auto"/>
          <w:highlight w:val="none"/>
          <w:lang w:val="en-US" w:eastAsia="zh-CN"/>
        </w:rPr>
        <w:t>)</w:t>
      </w:r>
      <w:r>
        <w:rPr>
          <w:rFonts w:hint="eastAsia"/>
          <w:b w:val="0"/>
          <w:bCs/>
          <w:color w:val="auto"/>
          <w:highlight w:val="none"/>
        </w:rPr>
        <w:t>等完成服装交付所需的所有费用</w:t>
      </w:r>
      <w:r>
        <w:rPr>
          <w:rFonts w:hint="eastAsia"/>
          <w:color w:val="auto"/>
          <w:highlight w:val="none"/>
        </w:rPr>
        <w:t>。</w:t>
      </w:r>
    </w:p>
    <w:p>
      <w:pPr>
        <w:pStyle w:val="67"/>
        <w:spacing w:line="520" w:lineRule="exact"/>
        <w:ind w:firstLine="480"/>
        <w:rPr>
          <w:color w:val="auto"/>
          <w:highlight w:val="none"/>
        </w:rPr>
      </w:pPr>
      <w:r>
        <w:rPr>
          <w:rFonts w:hint="eastAsia"/>
          <w:color w:val="auto"/>
          <w:highlight w:val="none"/>
        </w:rPr>
        <w:t>投标人只允许有一个报价，并且在合同履行过程中是固定不变的，任何有选择或可调整的报价将不予接受，并按无效投标处理。</w:t>
      </w:r>
    </w:p>
    <w:p>
      <w:pPr>
        <w:pStyle w:val="66"/>
        <w:spacing w:line="520" w:lineRule="exact"/>
        <w:ind w:firstLine="482"/>
        <w:rPr>
          <w:b/>
          <w:bCs/>
          <w:color w:val="auto"/>
          <w:highlight w:val="none"/>
          <w:lang w:val="zh-CN"/>
        </w:rPr>
      </w:pPr>
      <w:r>
        <w:rPr>
          <w:rFonts w:hint="eastAsia"/>
          <w:b/>
          <w:bCs/>
          <w:color w:val="auto"/>
          <w:highlight w:val="none"/>
        </w:rPr>
        <w:t xml:space="preserve"> 技术</w:t>
      </w:r>
      <w:r>
        <w:rPr>
          <w:rFonts w:hint="eastAsia"/>
          <w:b/>
          <w:bCs/>
          <w:color w:val="auto"/>
          <w:highlight w:val="none"/>
          <w:lang w:val="zh-CN"/>
        </w:rPr>
        <w:t>部分</w:t>
      </w:r>
    </w:p>
    <w:p>
      <w:pPr>
        <w:pStyle w:val="48"/>
        <w:spacing w:line="520" w:lineRule="exact"/>
        <w:rPr>
          <w:color w:val="auto"/>
          <w:highlight w:val="none"/>
          <w:lang w:val="zh-CN"/>
        </w:rPr>
      </w:pPr>
      <w:r>
        <w:rPr>
          <w:rFonts w:hint="eastAsia"/>
          <w:color w:val="auto"/>
          <w:highlight w:val="none"/>
          <w:lang w:val="zh-CN"/>
        </w:rPr>
        <w:t>投标人按照招标文件要求做出的</w:t>
      </w:r>
      <w:r>
        <w:rPr>
          <w:rFonts w:hint="eastAsia"/>
          <w:color w:val="auto"/>
          <w:highlight w:val="none"/>
        </w:rPr>
        <w:t>技术</w:t>
      </w:r>
      <w:r>
        <w:rPr>
          <w:rFonts w:hint="eastAsia"/>
          <w:color w:val="auto"/>
          <w:highlight w:val="none"/>
          <w:lang w:val="zh-CN"/>
        </w:rPr>
        <w:t>应答，主要是针对招标项目的</w:t>
      </w:r>
      <w:r>
        <w:rPr>
          <w:rFonts w:hint="eastAsia"/>
          <w:color w:val="auto"/>
          <w:highlight w:val="none"/>
        </w:rPr>
        <w:t>技术</w:t>
      </w:r>
      <w:r>
        <w:rPr>
          <w:rFonts w:hint="eastAsia"/>
          <w:color w:val="auto"/>
          <w:highlight w:val="none"/>
          <w:lang w:val="zh-CN"/>
        </w:rPr>
        <w:t>要求做出的实质性响应和满足。投标人的</w:t>
      </w:r>
      <w:r>
        <w:rPr>
          <w:rFonts w:hint="eastAsia"/>
          <w:color w:val="auto"/>
          <w:highlight w:val="none"/>
        </w:rPr>
        <w:t>技术应答应尽可能</w:t>
      </w:r>
      <w:r>
        <w:rPr>
          <w:rFonts w:hint="eastAsia"/>
          <w:color w:val="auto"/>
          <w:highlight w:val="none"/>
          <w:lang w:val="zh-CN"/>
        </w:rPr>
        <w:t>包括下列内容：</w:t>
      </w:r>
    </w:p>
    <w:p>
      <w:pPr>
        <w:pStyle w:val="67"/>
        <w:spacing w:line="520" w:lineRule="exact"/>
        <w:ind w:firstLine="480"/>
        <w:rPr>
          <w:color w:val="auto"/>
          <w:highlight w:val="none"/>
        </w:rPr>
      </w:pPr>
      <w:r>
        <w:rPr>
          <w:rFonts w:hint="eastAsia"/>
          <w:color w:val="auto"/>
          <w:highlight w:val="none"/>
        </w:rPr>
        <w:t>投标产品的品牌、配置；</w:t>
      </w:r>
    </w:p>
    <w:p>
      <w:pPr>
        <w:pStyle w:val="67"/>
        <w:spacing w:line="520" w:lineRule="exact"/>
        <w:ind w:firstLine="480"/>
        <w:rPr>
          <w:color w:val="auto"/>
          <w:highlight w:val="none"/>
        </w:rPr>
      </w:pPr>
      <w:r>
        <w:rPr>
          <w:rFonts w:hint="eastAsia"/>
          <w:color w:val="auto"/>
          <w:highlight w:val="none"/>
        </w:rPr>
        <w:t>投标产品本身的详细的技术指标和参数(应当尽可能提供检测报告、产品使用说明书、用户手册等材料予以佐证)；</w:t>
      </w:r>
    </w:p>
    <w:p>
      <w:pPr>
        <w:pStyle w:val="67"/>
        <w:spacing w:line="520" w:lineRule="exact"/>
        <w:ind w:firstLine="480"/>
        <w:rPr>
          <w:color w:val="auto"/>
          <w:highlight w:val="none"/>
        </w:rPr>
      </w:pPr>
      <w:r>
        <w:rPr>
          <w:rFonts w:hint="eastAsia"/>
          <w:color w:val="auto"/>
          <w:highlight w:val="none"/>
          <w:lang w:val="en-US" w:eastAsia="zh-CN"/>
        </w:rPr>
        <w:t>技术服务水平</w:t>
      </w:r>
      <w:r>
        <w:rPr>
          <w:rFonts w:hint="eastAsia"/>
          <w:color w:val="auto"/>
          <w:highlight w:val="none"/>
        </w:rPr>
        <w:t>、售后服务方案；</w:t>
      </w:r>
    </w:p>
    <w:p>
      <w:pPr>
        <w:pStyle w:val="67"/>
        <w:spacing w:line="520" w:lineRule="exact"/>
        <w:ind w:firstLine="480"/>
        <w:rPr>
          <w:color w:val="auto"/>
          <w:highlight w:val="none"/>
        </w:rPr>
      </w:pPr>
      <w:r>
        <w:rPr>
          <w:rFonts w:hint="eastAsia"/>
          <w:color w:val="auto"/>
          <w:highlight w:val="none"/>
        </w:rPr>
        <w:t>投标产品技术参数响应表；</w:t>
      </w:r>
    </w:p>
    <w:p>
      <w:pPr>
        <w:pStyle w:val="67"/>
        <w:spacing w:line="520" w:lineRule="exact"/>
        <w:ind w:firstLine="480"/>
        <w:rPr>
          <w:color w:val="auto"/>
          <w:highlight w:val="none"/>
        </w:rPr>
      </w:pPr>
      <w:r>
        <w:rPr>
          <w:rFonts w:hint="eastAsia"/>
          <w:color w:val="auto"/>
          <w:highlight w:val="none"/>
        </w:rPr>
        <w:t>投标人认为需要提供的文件和资料。</w:t>
      </w:r>
    </w:p>
    <w:p>
      <w:pPr>
        <w:pStyle w:val="66"/>
        <w:spacing w:line="520" w:lineRule="exact"/>
        <w:ind w:firstLine="482"/>
        <w:rPr>
          <w:b/>
          <w:bCs/>
          <w:color w:val="auto"/>
          <w:highlight w:val="none"/>
        </w:rPr>
      </w:pPr>
      <w:r>
        <w:rPr>
          <w:rFonts w:hint="eastAsia"/>
          <w:b/>
          <w:bCs/>
          <w:color w:val="auto"/>
          <w:highlight w:val="none"/>
        </w:rPr>
        <w:t xml:space="preserve"> 商务部分</w:t>
      </w:r>
    </w:p>
    <w:p>
      <w:pPr>
        <w:pStyle w:val="48"/>
        <w:spacing w:line="520" w:lineRule="exact"/>
        <w:rPr>
          <w:color w:val="auto"/>
          <w:highlight w:val="none"/>
        </w:rPr>
      </w:pPr>
      <w:r>
        <w:rPr>
          <w:rFonts w:hint="eastAsia"/>
          <w:color w:val="auto"/>
          <w:highlight w:val="none"/>
        </w:rPr>
        <w:t>投标人按照招标文件要求提供的有关证明材料；至少应包括但不限于以下内容：</w:t>
      </w:r>
    </w:p>
    <w:p>
      <w:pPr>
        <w:pStyle w:val="67"/>
        <w:spacing w:line="520" w:lineRule="exact"/>
        <w:ind w:firstLine="480"/>
        <w:rPr>
          <w:color w:val="auto"/>
          <w:highlight w:val="none"/>
        </w:rPr>
      </w:pPr>
      <w:bookmarkStart w:id="393" w:name="_Toc177972289"/>
      <w:bookmarkStart w:id="394" w:name="_Toc310412059"/>
      <w:bookmarkStart w:id="395" w:name="_Toc338418069"/>
      <w:bookmarkStart w:id="396" w:name="_Toc177972975"/>
      <w:bookmarkStart w:id="397" w:name="_Toc148505258"/>
      <w:bookmarkStart w:id="398" w:name="_Toc310411990"/>
      <w:bookmarkStart w:id="399" w:name="_Toc310410799"/>
      <w:r>
        <w:rPr>
          <w:rFonts w:hint="eastAsia"/>
          <w:color w:val="auto"/>
          <w:highlight w:val="none"/>
        </w:rPr>
        <w:t>投标函；</w:t>
      </w:r>
    </w:p>
    <w:p>
      <w:pPr>
        <w:pStyle w:val="67"/>
        <w:spacing w:line="520" w:lineRule="exact"/>
        <w:ind w:firstLine="480"/>
        <w:rPr>
          <w:color w:val="auto"/>
          <w:highlight w:val="none"/>
        </w:rPr>
      </w:pPr>
      <w:r>
        <w:rPr>
          <w:rFonts w:hint="eastAsia"/>
          <w:color w:val="auto"/>
          <w:highlight w:val="none"/>
        </w:rPr>
        <w:t>实质性要求承诺；</w:t>
      </w:r>
    </w:p>
    <w:p>
      <w:pPr>
        <w:pStyle w:val="67"/>
        <w:spacing w:line="520" w:lineRule="exact"/>
        <w:ind w:firstLine="480"/>
        <w:rPr>
          <w:color w:val="auto"/>
          <w:highlight w:val="none"/>
        </w:rPr>
      </w:pPr>
      <w:r>
        <w:rPr>
          <w:rFonts w:hint="eastAsia"/>
          <w:color w:val="auto"/>
          <w:highlight w:val="none"/>
        </w:rPr>
        <w:t>投标人基本情况表；</w:t>
      </w:r>
    </w:p>
    <w:p>
      <w:pPr>
        <w:pStyle w:val="67"/>
        <w:spacing w:line="520" w:lineRule="exact"/>
        <w:ind w:firstLine="480"/>
        <w:rPr>
          <w:color w:val="auto"/>
          <w:highlight w:val="none"/>
        </w:rPr>
      </w:pPr>
      <w:r>
        <w:rPr>
          <w:rFonts w:hint="eastAsia"/>
          <w:color w:val="auto"/>
          <w:highlight w:val="none"/>
        </w:rPr>
        <w:t>商务应答表；</w:t>
      </w:r>
    </w:p>
    <w:p>
      <w:pPr>
        <w:pStyle w:val="67"/>
        <w:spacing w:line="520" w:lineRule="exact"/>
        <w:ind w:firstLine="480"/>
        <w:rPr>
          <w:color w:val="auto"/>
          <w:highlight w:val="none"/>
        </w:rPr>
      </w:pPr>
      <w:r>
        <w:rPr>
          <w:rFonts w:hint="eastAsia"/>
          <w:color w:val="auto"/>
          <w:highlight w:val="none"/>
        </w:rPr>
        <w:t>招标代理服务费承诺函；</w:t>
      </w:r>
    </w:p>
    <w:p>
      <w:pPr>
        <w:pStyle w:val="67"/>
        <w:spacing w:line="520" w:lineRule="exact"/>
        <w:ind w:firstLine="480"/>
        <w:rPr>
          <w:color w:val="auto"/>
          <w:highlight w:val="none"/>
        </w:rPr>
      </w:pPr>
      <w:r>
        <w:rPr>
          <w:rFonts w:hint="eastAsia"/>
          <w:color w:val="auto"/>
          <w:highlight w:val="none"/>
        </w:rPr>
        <w:t>投标人认为应当提供的其他证明材料；</w:t>
      </w:r>
    </w:p>
    <w:p>
      <w:pPr>
        <w:pStyle w:val="67"/>
        <w:spacing w:line="520" w:lineRule="exact"/>
        <w:ind w:firstLine="480"/>
        <w:rPr>
          <w:color w:val="auto"/>
          <w:highlight w:val="none"/>
        </w:rPr>
      </w:pPr>
      <w:r>
        <w:rPr>
          <w:rFonts w:hint="eastAsia"/>
          <w:color w:val="auto"/>
          <w:highlight w:val="none"/>
        </w:rPr>
        <w:t>招标文件规定的其他商务要求。</w:t>
      </w:r>
    </w:p>
    <w:bookmarkEnd w:id="393"/>
    <w:bookmarkEnd w:id="394"/>
    <w:bookmarkEnd w:id="395"/>
    <w:bookmarkEnd w:id="396"/>
    <w:bookmarkEnd w:id="397"/>
    <w:bookmarkEnd w:id="398"/>
    <w:bookmarkEnd w:id="399"/>
    <w:p>
      <w:pPr>
        <w:pStyle w:val="66"/>
        <w:spacing w:line="520" w:lineRule="exact"/>
        <w:ind w:firstLine="482"/>
        <w:rPr>
          <w:b/>
          <w:bCs/>
          <w:color w:val="auto"/>
          <w:highlight w:val="none"/>
        </w:rPr>
      </w:pPr>
      <w:r>
        <w:rPr>
          <w:rFonts w:hint="eastAsia"/>
          <w:b/>
          <w:bCs/>
          <w:color w:val="auto"/>
          <w:highlight w:val="none"/>
        </w:rPr>
        <w:t xml:space="preserve"> 售后服务</w:t>
      </w:r>
    </w:p>
    <w:p>
      <w:pPr>
        <w:pStyle w:val="48"/>
        <w:spacing w:line="520" w:lineRule="exact"/>
        <w:rPr>
          <w:color w:val="auto"/>
          <w:highlight w:val="none"/>
        </w:rPr>
      </w:pPr>
      <w:r>
        <w:rPr>
          <w:rFonts w:hint="eastAsia"/>
          <w:color w:val="auto"/>
          <w:highlight w:val="none"/>
        </w:rPr>
        <w:t>投标人按照招标文件中售后服务要求作出的积极响应和承诺。</w:t>
      </w:r>
    </w:p>
    <w:p>
      <w:pPr>
        <w:pStyle w:val="66"/>
        <w:spacing w:line="520" w:lineRule="exact"/>
        <w:ind w:firstLine="482"/>
        <w:rPr>
          <w:b/>
          <w:bCs/>
          <w:color w:val="auto"/>
          <w:highlight w:val="none"/>
        </w:rPr>
      </w:pPr>
      <w:r>
        <w:rPr>
          <w:rFonts w:hint="eastAsia"/>
          <w:b/>
          <w:bCs/>
          <w:color w:val="auto"/>
          <w:highlight w:val="none"/>
        </w:rPr>
        <w:t xml:space="preserve"> 其他部分</w:t>
      </w:r>
    </w:p>
    <w:p>
      <w:pPr>
        <w:pStyle w:val="48"/>
        <w:spacing w:line="520" w:lineRule="exact"/>
        <w:rPr>
          <w:color w:val="auto"/>
          <w:highlight w:val="none"/>
        </w:rPr>
      </w:pPr>
      <w:r>
        <w:rPr>
          <w:rFonts w:hint="eastAsia"/>
          <w:color w:val="auto"/>
          <w:highlight w:val="none"/>
        </w:rPr>
        <w:t>投标人按照招标文件要求作出的其他应答和承诺。</w:t>
      </w:r>
    </w:p>
    <w:p>
      <w:pPr>
        <w:pStyle w:val="49"/>
        <w:spacing w:line="520" w:lineRule="exact"/>
        <w:ind w:firstLine="482"/>
        <w:rPr>
          <w:color w:val="auto"/>
          <w:highlight w:val="none"/>
        </w:rPr>
      </w:pPr>
      <w:r>
        <w:rPr>
          <w:rFonts w:hint="eastAsia"/>
          <w:color w:val="auto"/>
          <w:highlight w:val="none"/>
        </w:rPr>
        <w:t>注：以上第一部分、第二部分要求提供的证明材料均需加盖投标人公章，若未加盖投标人公章的，则该证明材料涉及的评分项不予评分，涉及资格条件或实质性要求的评审项按未通过处理。</w:t>
      </w:r>
    </w:p>
    <w:p>
      <w:pPr>
        <w:pStyle w:val="48"/>
        <w:spacing w:line="520" w:lineRule="exact"/>
        <w:ind w:firstLine="482"/>
        <w:rPr>
          <w:b/>
          <w:bCs/>
          <w:color w:val="auto"/>
          <w:highlight w:val="none"/>
        </w:rPr>
      </w:pPr>
      <w:r>
        <w:rPr>
          <w:rFonts w:hint="eastAsia"/>
          <w:b/>
          <w:bCs/>
          <w:color w:val="auto"/>
          <w:highlight w:val="none"/>
        </w:rPr>
        <w:t>若综合评分明细表和技术参数中需要提供的证明材料上述未提及，投标人根据综合评分明细表和技术参数要求提供相关的证明材料。</w:t>
      </w:r>
    </w:p>
    <w:p>
      <w:pPr>
        <w:pStyle w:val="51"/>
        <w:spacing w:line="520" w:lineRule="exact"/>
        <w:ind w:firstLine="482"/>
        <w:rPr>
          <w:color w:val="auto"/>
          <w:highlight w:val="none"/>
        </w:rPr>
      </w:pPr>
      <w:bookmarkStart w:id="400" w:name="_Toc21752"/>
      <w:bookmarkStart w:id="401" w:name="_Toc308188145"/>
      <w:bookmarkStart w:id="402" w:name="_Toc31194"/>
      <w:bookmarkStart w:id="403" w:name="_Toc308084590"/>
      <w:bookmarkStart w:id="404" w:name="_Toc15763"/>
      <w:bookmarkStart w:id="405" w:name="_Toc309897508"/>
      <w:bookmarkStart w:id="406" w:name="_Toc6789"/>
      <w:bookmarkStart w:id="407" w:name="_Toc31136"/>
      <w:bookmarkStart w:id="408" w:name="_Toc1874"/>
      <w:bookmarkStart w:id="409" w:name="_Toc319440135"/>
      <w:bookmarkStart w:id="410" w:name="_Toc26967"/>
      <w:bookmarkStart w:id="411" w:name="_Toc319439893"/>
      <w:bookmarkStart w:id="412" w:name="_Toc32288"/>
      <w:bookmarkStart w:id="413" w:name="_Toc307564845"/>
      <w:bookmarkStart w:id="414" w:name="_Toc3096"/>
      <w:bookmarkStart w:id="415" w:name="_Toc31162"/>
      <w:bookmarkStart w:id="416" w:name="_Toc4288"/>
      <w:bookmarkStart w:id="417" w:name="_Toc327196279"/>
      <w:bookmarkStart w:id="418" w:name="_Toc23655"/>
      <w:bookmarkStart w:id="419" w:name="_Toc32103"/>
      <w:r>
        <w:rPr>
          <w:rFonts w:hint="eastAsia"/>
          <w:color w:val="auto"/>
          <w:highlight w:val="none"/>
        </w:rPr>
        <w:t>投标文件格式</w:t>
      </w:r>
      <w:bookmarkEnd w:id="389"/>
      <w:bookmarkEnd w:id="390"/>
      <w:bookmarkEnd w:id="391"/>
      <w:bookmarkEnd w:id="392"/>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Pr>
          <w:rFonts w:hint="eastAsia"/>
          <w:color w:val="auto"/>
          <w:highlight w:val="none"/>
        </w:rPr>
        <w:tab/>
      </w:r>
    </w:p>
    <w:p>
      <w:pPr>
        <w:pStyle w:val="65"/>
        <w:spacing w:line="520" w:lineRule="exact"/>
        <w:ind w:firstLine="480"/>
        <w:rPr>
          <w:color w:val="auto"/>
          <w:highlight w:val="none"/>
        </w:rPr>
      </w:pPr>
      <w:r>
        <w:rPr>
          <w:rFonts w:hint="eastAsia"/>
          <w:color w:val="auto"/>
          <w:highlight w:val="none"/>
        </w:rPr>
        <w:t>投标人应按照招标文件第三章中提供的“投标文件格式”填写相关内容。</w:t>
      </w:r>
    </w:p>
    <w:p>
      <w:pPr>
        <w:pStyle w:val="65"/>
        <w:spacing w:line="520" w:lineRule="exact"/>
        <w:ind w:firstLine="480"/>
        <w:rPr>
          <w:color w:val="auto"/>
          <w:highlight w:val="none"/>
        </w:rPr>
      </w:pPr>
      <w:r>
        <w:rPr>
          <w:rFonts w:hint="eastAsia"/>
          <w:color w:val="auto"/>
          <w:highlight w:val="none"/>
        </w:rPr>
        <w:t>对于没有格式要求的由投标人自行编写。</w:t>
      </w:r>
    </w:p>
    <w:p>
      <w:pPr>
        <w:pStyle w:val="51"/>
        <w:spacing w:line="520" w:lineRule="exact"/>
        <w:ind w:firstLine="482"/>
        <w:rPr>
          <w:rFonts w:hint="eastAsia" w:ascii="宋体" w:hAnsi="宋体" w:eastAsia="宋体" w:cs="宋体"/>
          <w:color w:val="auto"/>
          <w:highlight w:val="none"/>
        </w:rPr>
      </w:pPr>
      <w:bookmarkStart w:id="420" w:name="_Toc183582223"/>
      <w:bookmarkStart w:id="421" w:name="_Toc14436"/>
      <w:bookmarkStart w:id="422" w:name="_Toc217446050"/>
      <w:bookmarkStart w:id="423" w:name="_Toc14382"/>
      <w:bookmarkStart w:id="424" w:name="_Toc21884"/>
      <w:bookmarkStart w:id="425" w:name="_Toc183682360"/>
      <w:bookmarkStart w:id="426" w:name="_Toc16016"/>
      <w:bookmarkStart w:id="427" w:name="_Toc24908"/>
      <w:bookmarkStart w:id="428" w:name="_Toc4102"/>
      <w:bookmarkStart w:id="429" w:name="_Toc327196280"/>
      <w:bookmarkStart w:id="430" w:name="_Toc309897509"/>
      <w:bookmarkStart w:id="431" w:name="_Toc2456"/>
      <w:bookmarkStart w:id="432" w:name="_Toc307501103"/>
      <w:bookmarkStart w:id="433" w:name="_Toc308188146"/>
      <w:bookmarkStart w:id="434" w:name="_Toc308084591"/>
      <w:bookmarkStart w:id="435" w:name="_Toc31944"/>
      <w:bookmarkStart w:id="436" w:name="_Toc29891"/>
      <w:bookmarkStart w:id="437" w:name="_Toc21967"/>
      <w:bookmarkStart w:id="438" w:name="_Toc20642"/>
      <w:bookmarkStart w:id="439" w:name="_Toc27418"/>
      <w:bookmarkStart w:id="440" w:name="_Toc319440136"/>
      <w:bookmarkStart w:id="441" w:name="_Toc307564846"/>
      <w:bookmarkStart w:id="442" w:name="_Toc319439894"/>
      <w:bookmarkStart w:id="443" w:name="_Toc26953"/>
      <w:r>
        <w:rPr>
          <w:rFonts w:hint="eastAsia"/>
          <w:color w:val="auto"/>
          <w:highlight w:val="none"/>
        </w:rPr>
        <w:t>投标保证金</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Start w:id="444" w:name="_Toc307564847"/>
      <w:bookmarkStart w:id="445" w:name="_Toc9356"/>
      <w:bookmarkStart w:id="446" w:name="_Toc21338"/>
      <w:bookmarkStart w:id="447" w:name="_Toc308188147"/>
      <w:bookmarkStart w:id="448" w:name="_Toc319439895"/>
      <w:bookmarkStart w:id="449" w:name="_Toc17857"/>
      <w:bookmarkStart w:id="450" w:name="_Toc183682361"/>
      <w:bookmarkStart w:id="451" w:name="_Toc26011"/>
      <w:bookmarkStart w:id="452" w:name="_Toc319440137"/>
      <w:bookmarkStart w:id="453" w:name="_Toc31284"/>
      <w:bookmarkStart w:id="454" w:name="_Toc217446051"/>
      <w:bookmarkStart w:id="455" w:name="_Toc183582224"/>
      <w:bookmarkStart w:id="456" w:name="_Toc13956"/>
      <w:bookmarkStart w:id="457" w:name="_Toc29434"/>
      <w:bookmarkStart w:id="458" w:name="_Toc27589"/>
      <w:bookmarkStart w:id="459" w:name="_Toc307501104"/>
      <w:bookmarkStart w:id="460" w:name="_Toc309897510"/>
      <w:bookmarkStart w:id="461" w:name="_Toc308084592"/>
      <w:bookmarkStart w:id="462" w:name="_Toc327196281"/>
      <w:r>
        <w:rPr>
          <w:rFonts w:hint="eastAsia" w:ascii="宋体" w:hAnsi="宋体" w:eastAsia="宋体" w:cs="宋体"/>
          <w:color w:val="auto"/>
          <w:highlight w:val="none"/>
        </w:rPr>
        <w:t>(实质性要求)</w:t>
      </w:r>
      <w:bookmarkEnd w:id="443"/>
    </w:p>
    <w:p>
      <w:pPr>
        <w:pStyle w:val="65"/>
        <w:spacing w:line="52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投标人投标时，必须按照招标文件要求提交规定数额的投标保证金，并须按招标文件规定将提交投标保证金的银行回单复印件加盖投标人公章作为其投标保证金有效凭证，若以保函方式提交投标保证金的，提供加盖投标人公章的保函原件作为有效凭证。</w:t>
      </w:r>
    </w:p>
    <w:p>
      <w:pPr>
        <w:pStyle w:val="65"/>
        <w:spacing w:line="52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未按招标文件要求在规定时间前提交规定数额投标保证金的投标将被拒绝。</w:t>
      </w:r>
    </w:p>
    <w:p>
      <w:pPr>
        <w:pStyle w:val="65"/>
        <w:spacing w:line="52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投标人所提交的投标保证金不计利息。</w:t>
      </w:r>
    </w:p>
    <w:p>
      <w:pPr>
        <w:pStyle w:val="65"/>
        <w:spacing w:line="52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投标人在投标截止时间前撤回已提交的投标文件的，采购人或者采购代理机构应当自收到投标人书面撤回通知之日起5个工作日内，无息退还已收取的投标保证金，但因投标人自身原因导致无法及时退还的除外。</w:t>
      </w:r>
    </w:p>
    <w:p>
      <w:pPr>
        <w:pStyle w:val="65"/>
        <w:spacing w:line="52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采购人或者采购代理机构应当自中标通知书发出之日起5个工作日内无息退还未中标人的投标保证金，自采购合同签订之日起5个工作日内退还中标人的投标保证金。</w:t>
      </w:r>
    </w:p>
    <w:p>
      <w:pPr>
        <w:pStyle w:val="49"/>
        <w:spacing w:line="520" w:lineRule="exact"/>
        <w:ind w:firstLine="482"/>
        <w:rPr>
          <w:rFonts w:hint="eastAsia" w:ascii="宋体" w:hAnsi="宋体" w:eastAsia="宋体" w:cs="宋体"/>
          <w:color w:val="auto"/>
          <w:highlight w:val="none"/>
        </w:rPr>
      </w:pPr>
      <w:r>
        <w:rPr>
          <w:rFonts w:hint="eastAsia" w:ascii="宋体" w:hAnsi="宋体" w:eastAsia="宋体" w:cs="宋体"/>
          <w:color w:val="auto"/>
          <w:highlight w:val="none"/>
        </w:rPr>
        <w:t>注：</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 1 \* GB3 \* MERGEFORMAT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①</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因投标人自身原因造成的保证金延迟退还或者投标人和采购代理机构协商可以延迟退还的，采购代理机构不承担相应责任；</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 2 \* GB3 \* MERGEFORMAT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②</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供应商因涉嫌违法违规，按照规定应当不予退还保证金的，有关部门处理认定违法违规行为期间不计入退还保证金时限之内。</w:t>
      </w:r>
    </w:p>
    <w:p>
      <w:pPr>
        <w:pStyle w:val="65"/>
        <w:spacing w:line="52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发生下列情形之一的，采购代理机构将不予退还投标人提交的投标保证金：</w:t>
      </w:r>
    </w:p>
    <w:p>
      <w:pPr>
        <w:pStyle w:val="66"/>
        <w:spacing w:line="52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在招标文件规定的投标截止时间后撤回投标的；</w:t>
      </w:r>
    </w:p>
    <w:p>
      <w:pPr>
        <w:pStyle w:val="66"/>
        <w:spacing w:line="52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在采购人确定中标人以前放弃中标候选资格的；</w:t>
      </w:r>
    </w:p>
    <w:p>
      <w:pPr>
        <w:pStyle w:val="66"/>
        <w:spacing w:line="52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中标后放弃中标、不领取或者不接收中标通知书的；</w:t>
      </w:r>
    </w:p>
    <w:p>
      <w:pPr>
        <w:pStyle w:val="66"/>
        <w:spacing w:line="52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由于中标人的原因未能按照招标文件的规定与采购人签订合同的；</w:t>
      </w:r>
    </w:p>
    <w:p>
      <w:pPr>
        <w:pStyle w:val="66"/>
        <w:spacing w:line="52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投标人提供虚假资料的；</w:t>
      </w:r>
    </w:p>
    <w:p>
      <w:pPr>
        <w:pStyle w:val="66"/>
        <w:spacing w:line="520" w:lineRule="exact"/>
        <w:ind w:firstLine="480"/>
        <w:rPr>
          <w:color w:val="auto"/>
          <w:highlight w:val="none"/>
        </w:rPr>
      </w:pPr>
      <w:r>
        <w:rPr>
          <w:rFonts w:hint="eastAsia" w:ascii="宋体" w:hAnsi="宋体" w:eastAsia="宋体" w:cs="宋体"/>
          <w:color w:val="auto"/>
          <w:highlight w:val="none"/>
        </w:rPr>
        <w:t>投标有效期内，投标人在采购活动中有违法、违规、违纪行为。</w:t>
      </w:r>
    </w:p>
    <w:p>
      <w:pPr>
        <w:pStyle w:val="66"/>
        <w:spacing w:line="520" w:lineRule="exact"/>
        <w:ind w:firstLine="480"/>
        <w:rPr>
          <w:color w:val="auto"/>
          <w:highlight w:val="none"/>
        </w:rPr>
      </w:pPr>
      <w:r>
        <w:rPr>
          <w:rFonts w:hint="eastAsia" w:ascii="宋体" w:hAnsi="宋体" w:eastAsia="宋体" w:cs="宋体"/>
          <w:color w:val="auto"/>
          <w:highlight w:val="none"/>
        </w:rPr>
        <w:t>投标有效期内，投标人撤销投标文件的。</w:t>
      </w:r>
    </w:p>
    <w:p>
      <w:pPr>
        <w:pStyle w:val="51"/>
        <w:spacing w:line="520" w:lineRule="exact"/>
        <w:ind w:firstLine="482"/>
        <w:rPr>
          <w:color w:val="auto"/>
          <w:highlight w:val="none"/>
        </w:rPr>
      </w:pPr>
      <w:bookmarkStart w:id="463" w:name="_Toc20243"/>
      <w:bookmarkStart w:id="464" w:name="_Toc19531"/>
      <w:bookmarkStart w:id="465" w:name="_Toc6790"/>
      <w:bookmarkStart w:id="466" w:name="_Toc30115"/>
      <w:bookmarkStart w:id="467" w:name="_Toc19115"/>
      <w:r>
        <w:rPr>
          <w:rFonts w:hint="eastAsia"/>
          <w:color w:val="auto"/>
          <w:highlight w:val="none"/>
        </w:rPr>
        <w:t>投标有效期</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Pr>
          <w:rFonts w:hint="eastAsia"/>
          <w:color w:val="auto"/>
          <w:highlight w:val="none"/>
        </w:rPr>
        <w:t>(实质性要求</w:t>
      </w:r>
      <w:bookmarkEnd w:id="463"/>
      <w:r>
        <w:rPr>
          <w:rFonts w:hint="eastAsia"/>
          <w:color w:val="auto"/>
          <w:highlight w:val="none"/>
        </w:rPr>
        <w:t>)</w:t>
      </w:r>
      <w:bookmarkEnd w:id="464"/>
      <w:bookmarkEnd w:id="465"/>
      <w:bookmarkEnd w:id="466"/>
      <w:bookmarkEnd w:id="467"/>
    </w:p>
    <w:p>
      <w:pPr>
        <w:pStyle w:val="65"/>
        <w:spacing w:line="520" w:lineRule="exact"/>
        <w:ind w:firstLine="480"/>
        <w:rPr>
          <w:color w:val="auto"/>
          <w:highlight w:val="none"/>
        </w:rPr>
      </w:pPr>
      <w:r>
        <w:rPr>
          <w:rFonts w:hint="eastAsia"/>
          <w:color w:val="auto"/>
          <w:highlight w:val="none"/>
        </w:rPr>
        <w:t>投标有效期为提交投标文件的截止之日起90日。投标人投标文件中必须载明投标有效期，投标文件中载明的投标有效期可以长于招标文件规定的期限，但不得短于招标文件规定的期限。否则，其投标文件将作为无效投标处理。</w:t>
      </w:r>
    </w:p>
    <w:p>
      <w:pPr>
        <w:pStyle w:val="65"/>
        <w:spacing w:line="520" w:lineRule="exact"/>
        <w:ind w:firstLine="480"/>
        <w:rPr>
          <w:color w:val="auto"/>
          <w:highlight w:val="none"/>
        </w:rPr>
      </w:pPr>
      <w:r>
        <w:rPr>
          <w:rFonts w:hint="eastAsia"/>
          <w:color w:val="auto"/>
          <w:highlight w:val="none"/>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65"/>
        <w:spacing w:line="520" w:lineRule="exact"/>
        <w:ind w:firstLine="480"/>
        <w:rPr>
          <w:color w:val="auto"/>
          <w:highlight w:val="none"/>
        </w:rPr>
      </w:pPr>
      <w:r>
        <w:rPr>
          <w:rFonts w:hint="eastAsia"/>
          <w:color w:val="auto"/>
          <w:highlight w:val="none"/>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1"/>
        <w:spacing w:line="520" w:lineRule="exact"/>
        <w:ind w:firstLine="482"/>
        <w:rPr>
          <w:color w:val="auto"/>
          <w:highlight w:val="none"/>
        </w:rPr>
      </w:pPr>
      <w:bookmarkStart w:id="468" w:name="_Toc3077"/>
      <w:bookmarkStart w:id="469" w:name="_Toc319439896"/>
      <w:bookmarkStart w:id="470" w:name="_Toc319440138"/>
      <w:bookmarkStart w:id="471" w:name="_Toc183582225"/>
      <w:bookmarkStart w:id="472" w:name="_Toc327196282"/>
      <w:bookmarkStart w:id="473" w:name="_Toc183682362"/>
      <w:bookmarkStart w:id="474" w:name="_Toc6239"/>
      <w:bookmarkStart w:id="475" w:name="_Toc12545"/>
      <w:bookmarkStart w:id="476" w:name="_Toc24656"/>
      <w:bookmarkStart w:id="477" w:name="_Toc309897511"/>
      <w:bookmarkStart w:id="478" w:name="_Toc25471"/>
      <w:bookmarkStart w:id="479" w:name="_Toc3717"/>
      <w:bookmarkStart w:id="480" w:name="_Toc308188148"/>
      <w:bookmarkStart w:id="481" w:name="_Toc27461"/>
      <w:bookmarkStart w:id="482" w:name="_Toc22593"/>
      <w:bookmarkStart w:id="483" w:name="_Toc217446052"/>
      <w:bookmarkStart w:id="484" w:name="_Toc15977"/>
      <w:bookmarkStart w:id="485" w:name="_Toc26817"/>
      <w:bookmarkStart w:id="486" w:name="_Toc308084593"/>
      <w:bookmarkStart w:id="487" w:name="_Toc307564848"/>
      <w:bookmarkStart w:id="488" w:name="_Toc307501105"/>
      <w:bookmarkStart w:id="489" w:name="_Toc18019"/>
      <w:bookmarkStart w:id="490" w:name="_Toc27612"/>
      <w:bookmarkStart w:id="491" w:name="_Toc7213"/>
      <w:r>
        <w:rPr>
          <w:rFonts w:hint="eastAsia"/>
          <w:color w:val="auto"/>
          <w:highlight w:val="none"/>
        </w:rPr>
        <w:t>投标文件的印制和签署</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pPr>
        <w:pStyle w:val="65"/>
        <w:spacing w:line="520" w:lineRule="exact"/>
        <w:ind w:firstLine="480"/>
        <w:rPr>
          <w:color w:val="auto"/>
          <w:highlight w:val="none"/>
        </w:rPr>
      </w:pPr>
      <w:bookmarkStart w:id="492" w:name="_Toc77400781"/>
      <w:bookmarkStart w:id="493" w:name="_Toc183582226"/>
      <w:bookmarkStart w:id="494" w:name="_Toc183682363"/>
      <w:bookmarkStart w:id="495" w:name="_Toc89075877"/>
      <w:bookmarkStart w:id="496" w:name="_Toc309897512"/>
      <w:bookmarkStart w:id="497" w:name="_Toc308188149"/>
      <w:bookmarkStart w:id="498" w:name="_Toc307501106"/>
      <w:bookmarkStart w:id="499" w:name="_Toc23675"/>
      <w:bookmarkStart w:id="500" w:name="_Toc19635"/>
      <w:bookmarkStart w:id="501" w:name="_Toc17010"/>
      <w:bookmarkStart w:id="502" w:name="_Toc319440139"/>
      <w:bookmarkStart w:id="503" w:name="_Toc327196283"/>
      <w:bookmarkStart w:id="504" w:name="_Toc5019"/>
      <w:bookmarkStart w:id="505" w:name="_Toc23619"/>
      <w:bookmarkStart w:id="506" w:name="_Toc19839"/>
      <w:bookmarkStart w:id="507" w:name="_Toc319439897"/>
      <w:bookmarkStart w:id="508" w:name="_Toc6805"/>
      <w:bookmarkStart w:id="509" w:name="_Toc27443"/>
      <w:bookmarkStart w:id="510" w:name="_Toc13153"/>
      <w:bookmarkStart w:id="511" w:name="_Toc16752"/>
      <w:bookmarkStart w:id="512" w:name="_Toc307564849"/>
      <w:bookmarkStart w:id="513" w:name="_Toc10555"/>
      <w:bookmarkStart w:id="514" w:name="_Toc308084594"/>
      <w:bookmarkStart w:id="515" w:name="_Toc217446053"/>
      <w:r>
        <w:rPr>
          <w:rFonts w:hint="eastAsia"/>
          <w:color w:val="auto"/>
          <w:highlight w:val="none"/>
        </w:rPr>
        <w:t>投标文件分《资格、资质性及其他类似效力投标文件》、《其他投标文件》两部分，分册装订，内容不得相互混装。</w:t>
      </w:r>
    </w:p>
    <w:p>
      <w:pPr>
        <w:pStyle w:val="65"/>
        <w:spacing w:line="520" w:lineRule="exact"/>
        <w:ind w:firstLine="480"/>
        <w:rPr>
          <w:color w:val="auto"/>
          <w:highlight w:val="none"/>
        </w:rPr>
      </w:pPr>
      <w:r>
        <w:rPr>
          <w:rFonts w:hint="eastAsia"/>
          <w:color w:val="auto"/>
          <w:highlight w:val="none"/>
        </w:rPr>
        <w:t>投标文件按招标文件要求的格式进行密封。资格、资质性及其他类似效力投标文件用于采购人或采购代理机构对投标人进行资格审查，其他投标文件用于评标委员会评审。</w:t>
      </w:r>
    </w:p>
    <w:p>
      <w:pPr>
        <w:pStyle w:val="65"/>
        <w:spacing w:line="520" w:lineRule="exact"/>
        <w:ind w:firstLine="480"/>
        <w:rPr>
          <w:color w:val="auto"/>
          <w:highlight w:val="none"/>
        </w:rPr>
      </w:pPr>
      <w:r>
        <w:rPr>
          <w:rFonts w:hint="eastAsia"/>
          <w:color w:val="auto"/>
          <w:highlight w:val="none"/>
        </w:rPr>
        <w:t>投标人递交的投标文件为</w:t>
      </w:r>
      <w:r>
        <w:rPr>
          <w:rFonts w:hint="eastAsia"/>
          <w:b/>
          <w:bCs/>
          <w:color w:val="auto"/>
          <w:highlight w:val="none"/>
        </w:rPr>
        <w:t>一式叁份</w:t>
      </w:r>
      <w:r>
        <w:rPr>
          <w:rFonts w:hint="eastAsia"/>
          <w:color w:val="auto"/>
          <w:highlight w:val="none"/>
        </w:rPr>
        <w:t>，其中</w:t>
      </w:r>
      <w:r>
        <w:rPr>
          <w:rFonts w:hint="eastAsia"/>
          <w:b/>
          <w:bCs/>
          <w:color w:val="auto"/>
          <w:highlight w:val="none"/>
        </w:rPr>
        <w:t>正本壹份、副本贰份</w:t>
      </w:r>
      <w:r>
        <w:rPr>
          <w:rFonts w:hint="eastAsia"/>
          <w:color w:val="auto"/>
          <w:highlight w:val="none"/>
        </w:rPr>
        <w:t>，单独提交用于开标唱标的</w:t>
      </w:r>
      <w:r>
        <w:rPr>
          <w:rFonts w:hint="eastAsia"/>
          <w:b/>
          <w:bCs/>
          <w:color w:val="auto"/>
          <w:highlight w:val="none"/>
        </w:rPr>
        <w:t>“开标一览表”壹份原件</w:t>
      </w:r>
      <w:r>
        <w:rPr>
          <w:rFonts w:hint="eastAsia"/>
          <w:color w:val="auto"/>
          <w:highlight w:val="none"/>
        </w:rPr>
        <w:t>。</w:t>
      </w:r>
    </w:p>
    <w:p>
      <w:pPr>
        <w:pStyle w:val="65"/>
        <w:spacing w:line="520" w:lineRule="exact"/>
        <w:ind w:firstLine="480"/>
        <w:rPr>
          <w:color w:val="auto"/>
          <w:highlight w:val="none"/>
        </w:rPr>
      </w:pPr>
      <w:r>
        <w:rPr>
          <w:rFonts w:hint="eastAsia"/>
          <w:color w:val="auto"/>
          <w:highlight w:val="none"/>
        </w:rPr>
        <w:t>投标文件正本应用不褪色、不变质的墨水书写或打印，并装订成册，由投标人的法定代表人或其授权代表在规定签章处签字或盖章。投标文件副本可采用正本的复印件，若正本和副本有不一致的内容，以正本书面投标文件为准。</w:t>
      </w:r>
    </w:p>
    <w:p>
      <w:pPr>
        <w:pStyle w:val="65"/>
        <w:spacing w:line="520" w:lineRule="exact"/>
        <w:ind w:firstLine="480"/>
        <w:rPr>
          <w:color w:val="auto"/>
          <w:highlight w:val="none"/>
        </w:rPr>
      </w:pPr>
      <w:r>
        <w:rPr>
          <w:rFonts w:hint="eastAsia"/>
          <w:color w:val="auto"/>
          <w:highlight w:val="none"/>
        </w:rPr>
        <w:t>“开标一览表”除单独密封提交外，还须编制于其他投标文件正副本内。</w:t>
      </w:r>
    </w:p>
    <w:p>
      <w:pPr>
        <w:pStyle w:val="65"/>
        <w:spacing w:line="520" w:lineRule="exact"/>
        <w:ind w:firstLine="480"/>
        <w:rPr>
          <w:color w:val="auto"/>
          <w:highlight w:val="none"/>
        </w:rPr>
      </w:pPr>
      <w:r>
        <w:rPr>
          <w:rFonts w:hint="eastAsia"/>
          <w:color w:val="auto"/>
          <w:highlight w:val="none"/>
        </w:rPr>
        <w:t>投标文件正本和副本统一用A4幅面纸印制(图、表、证件、宣传资料、技术证明材料可以除外)，逐页编码，可双面打印。</w:t>
      </w:r>
    </w:p>
    <w:p>
      <w:pPr>
        <w:pStyle w:val="65"/>
        <w:spacing w:line="520" w:lineRule="exact"/>
        <w:ind w:firstLine="480"/>
        <w:rPr>
          <w:color w:val="auto"/>
          <w:highlight w:val="none"/>
        </w:rPr>
      </w:pPr>
      <w:r>
        <w:rPr>
          <w:rFonts w:hint="eastAsia"/>
          <w:color w:val="auto"/>
          <w:highlight w:val="none"/>
        </w:rPr>
        <w:t>投标文件的正本和副本应采用左侧胶装，不得散装或者活页装订。</w:t>
      </w:r>
    </w:p>
    <w:p>
      <w:pPr>
        <w:pStyle w:val="65"/>
        <w:spacing w:line="520" w:lineRule="exact"/>
        <w:ind w:firstLine="480"/>
        <w:rPr>
          <w:color w:val="auto"/>
          <w:highlight w:val="none"/>
        </w:rPr>
      </w:pPr>
      <w:r>
        <w:rPr>
          <w:rFonts w:hint="eastAsia"/>
          <w:color w:val="auto"/>
          <w:highlight w:val="none"/>
        </w:rPr>
        <w:t>若投标文件内容较多，可分册装订，并在封面标明次序及册数。</w:t>
      </w:r>
    </w:p>
    <w:p>
      <w:pPr>
        <w:pStyle w:val="65"/>
        <w:spacing w:line="520" w:lineRule="exact"/>
        <w:ind w:firstLine="480"/>
        <w:rPr>
          <w:color w:val="auto"/>
          <w:highlight w:val="none"/>
        </w:rPr>
      </w:pPr>
      <w:r>
        <w:rPr>
          <w:rFonts w:hint="eastAsia"/>
          <w:color w:val="auto"/>
          <w:highlight w:val="none"/>
        </w:rPr>
        <w:t>投标文件中的证明、证件及附件等复印件应集中紧附在相应正文内容后面，并尽量与前面正文部分的顺序相对应。</w:t>
      </w:r>
    </w:p>
    <w:p>
      <w:pPr>
        <w:pStyle w:val="65"/>
        <w:spacing w:line="520" w:lineRule="exact"/>
        <w:ind w:firstLine="480"/>
        <w:rPr>
          <w:color w:val="auto"/>
          <w:highlight w:val="none"/>
        </w:rPr>
      </w:pPr>
      <w:r>
        <w:rPr>
          <w:rFonts w:hint="eastAsia"/>
          <w:color w:val="auto"/>
          <w:highlight w:val="none"/>
        </w:rPr>
        <w:t>投标文件的打印和书写应清楚工整，任何签字、行间插字、涂改或增删，必须由投标人的法定代表人或其授权代表签字或盖个人印鉴(签字可用具有法定效力的个人印章代替)不得使用专用章(如经济合同章、投标专用章等)或下属单位印章代替</w:t>
      </w:r>
      <w:r>
        <w:rPr>
          <w:rFonts w:hint="eastAsia"/>
          <w:b/>
          <w:bCs/>
          <w:color w:val="auto"/>
          <w:highlight w:val="none"/>
        </w:rPr>
        <w:t>(实质性要求)</w:t>
      </w:r>
      <w:r>
        <w:rPr>
          <w:rFonts w:hint="eastAsia"/>
          <w:color w:val="auto"/>
          <w:highlight w:val="none"/>
        </w:rPr>
        <w:t>。</w:t>
      </w:r>
    </w:p>
    <w:p>
      <w:pPr>
        <w:pStyle w:val="65"/>
        <w:spacing w:line="520" w:lineRule="exact"/>
        <w:ind w:firstLine="480"/>
        <w:rPr>
          <w:color w:val="auto"/>
          <w:highlight w:val="none"/>
        </w:rPr>
      </w:pPr>
      <w:r>
        <w:rPr>
          <w:rFonts w:hint="eastAsia"/>
          <w:color w:val="auto"/>
          <w:highlight w:val="none"/>
        </w:rPr>
        <w:t>投标文件应根据上述要求制作，签署、盖章，内容应完整。</w:t>
      </w:r>
    </w:p>
    <w:p>
      <w:pPr>
        <w:pStyle w:val="65"/>
        <w:spacing w:line="520" w:lineRule="exact"/>
        <w:ind w:firstLine="480"/>
        <w:rPr>
          <w:color w:val="auto"/>
          <w:highlight w:val="none"/>
        </w:rPr>
      </w:pPr>
      <w:r>
        <w:rPr>
          <w:rFonts w:hint="eastAsia"/>
          <w:color w:val="auto"/>
          <w:highlight w:val="none"/>
        </w:rPr>
        <w:t>本招标文件要求的复印件是指对图文进行复制后的文件，包括扫描、复印、影印等方式复制的材料。</w:t>
      </w:r>
    </w:p>
    <w:p>
      <w:pPr>
        <w:pStyle w:val="65"/>
        <w:spacing w:line="520" w:lineRule="exact"/>
        <w:ind w:firstLine="480"/>
        <w:rPr>
          <w:color w:val="auto"/>
          <w:highlight w:val="none"/>
        </w:rPr>
      </w:pPr>
      <w:r>
        <w:rPr>
          <w:rFonts w:hint="eastAsia"/>
          <w:color w:val="auto"/>
          <w:highlight w:val="none"/>
        </w:rPr>
        <w:t>为加强采购项目档案的数字化管理，便于采购人后期项目监督、审计及检查，倡导各投标人在递交本项目投标文件时一并递交项目的</w:t>
      </w:r>
      <w:r>
        <w:rPr>
          <w:rFonts w:hint="eastAsia"/>
          <w:b/>
          <w:bCs/>
          <w:color w:val="auto"/>
          <w:highlight w:val="none"/>
        </w:rPr>
        <w:t>电子文档一份</w:t>
      </w:r>
      <w:r>
        <w:rPr>
          <w:rFonts w:hint="eastAsia"/>
          <w:color w:val="auto"/>
          <w:highlight w:val="none"/>
        </w:rPr>
        <w:t>。电子文档为PDF格式版本，保存介质采用USB闪存盘(U盘)。制作要求为按招标文件要求制作完成并加盖投标人公章及签名的投标文件的扫描件。电子文档单独密封递交，外层标注投标人名称、电子文档、加盖投标人公章。如电子文档与书面的投标文件有不一致的内容，以书面投标文件正本为准。</w:t>
      </w:r>
    </w:p>
    <w:p>
      <w:pPr>
        <w:pStyle w:val="51"/>
        <w:spacing w:line="520" w:lineRule="exact"/>
        <w:ind w:firstLine="482"/>
        <w:rPr>
          <w:color w:val="auto"/>
          <w:highlight w:val="none"/>
        </w:rPr>
      </w:pPr>
      <w:bookmarkStart w:id="516" w:name="_Toc1584"/>
      <w:bookmarkStart w:id="517" w:name="_Toc25979"/>
      <w:r>
        <w:rPr>
          <w:rFonts w:hint="eastAsia"/>
          <w:color w:val="auto"/>
          <w:highlight w:val="none"/>
        </w:rPr>
        <w:t>投标文件的密封和标</w:t>
      </w:r>
      <w:bookmarkEnd w:id="492"/>
      <w:bookmarkEnd w:id="493"/>
      <w:bookmarkEnd w:id="494"/>
      <w:bookmarkEnd w:id="495"/>
      <w:r>
        <w:rPr>
          <w:rFonts w:hint="eastAsia"/>
          <w:color w:val="auto"/>
          <w:highlight w:val="none"/>
        </w:rPr>
        <w:t>注</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pPr>
        <w:pStyle w:val="65"/>
        <w:spacing w:line="520" w:lineRule="exact"/>
        <w:ind w:firstLine="480"/>
        <w:rPr>
          <w:color w:val="auto"/>
          <w:highlight w:val="none"/>
        </w:rPr>
      </w:pPr>
      <w:bookmarkStart w:id="518" w:name="_Toc183682364"/>
      <w:bookmarkStart w:id="519" w:name="_Toc183582227"/>
      <w:bookmarkStart w:id="520" w:name="_Toc319439898"/>
      <w:bookmarkStart w:id="521" w:name="_Toc2092"/>
      <w:bookmarkStart w:id="522" w:name="_Toc54"/>
      <w:bookmarkStart w:id="523" w:name="_Toc20273"/>
      <w:bookmarkStart w:id="524" w:name="_Toc25113"/>
      <w:bookmarkStart w:id="525" w:name="_Toc319440140"/>
      <w:bookmarkStart w:id="526" w:name="_Toc5768"/>
      <w:bookmarkStart w:id="527" w:name="_Toc307564850"/>
      <w:bookmarkStart w:id="528" w:name="_Toc307501107"/>
      <w:bookmarkStart w:id="529" w:name="_Toc7231"/>
      <w:bookmarkStart w:id="530" w:name="_Toc308188150"/>
      <w:bookmarkStart w:id="531" w:name="_Toc309897513"/>
      <w:bookmarkStart w:id="532" w:name="_Toc217446054"/>
      <w:bookmarkStart w:id="533" w:name="_Toc308084595"/>
      <w:bookmarkStart w:id="534" w:name="_Toc327196284"/>
      <w:r>
        <w:rPr>
          <w:rFonts w:hint="eastAsia"/>
          <w:color w:val="auto"/>
          <w:highlight w:val="none"/>
        </w:rPr>
        <w:t>投标人应在投标文件正本和所有副本的封面上注明投标人名称、项目编号、项目名称、投标日期。</w:t>
      </w:r>
    </w:p>
    <w:p>
      <w:pPr>
        <w:pStyle w:val="65"/>
        <w:spacing w:line="520" w:lineRule="exact"/>
        <w:ind w:firstLine="480"/>
        <w:rPr>
          <w:color w:val="auto"/>
          <w:highlight w:val="none"/>
        </w:rPr>
      </w:pPr>
      <w:r>
        <w:rPr>
          <w:rFonts w:hint="eastAsia"/>
          <w:color w:val="auto"/>
          <w:highlight w:val="none"/>
        </w:rPr>
        <w:t>资格、资质性及其他类似效力投标文件、其他投标文件、用于开标唱标单独提交的开标一览表，应封装于密封袋内，密封袋的封口处应粘贴牢固，密封袋上应标上“资格、资质性及其他类似效力投标文件”、“其他投标文件”、“开标一览表”、“</w:t>
      </w:r>
      <w:r>
        <w:rPr>
          <w:rFonts w:hint="eastAsia"/>
          <w:color w:val="auto"/>
          <w:highlight w:val="none"/>
          <w:lang w:val="en-US" w:eastAsia="zh-CN"/>
        </w:rPr>
        <w:t>电子文档</w:t>
      </w:r>
      <w:r>
        <w:rPr>
          <w:rFonts w:hint="eastAsia"/>
          <w:color w:val="auto"/>
          <w:highlight w:val="none"/>
        </w:rPr>
        <w:t>”字样，并注明投标人名称、项目名称、项目编号、投标日期，并在封口处加盖投标人公章。</w:t>
      </w:r>
    </w:p>
    <w:p>
      <w:pPr>
        <w:pStyle w:val="65"/>
        <w:spacing w:line="520" w:lineRule="exact"/>
        <w:ind w:firstLine="480"/>
        <w:rPr>
          <w:color w:val="auto"/>
          <w:highlight w:val="none"/>
        </w:rPr>
      </w:pPr>
      <w:r>
        <w:rPr>
          <w:rFonts w:hint="eastAsia"/>
          <w:color w:val="auto"/>
          <w:highlight w:val="none"/>
        </w:rPr>
        <w:t>未按照招标文件要求密封的投标文件，将被采购代理机构拒收。</w:t>
      </w:r>
    </w:p>
    <w:p>
      <w:pPr>
        <w:pStyle w:val="51"/>
        <w:spacing w:line="520" w:lineRule="exact"/>
        <w:ind w:firstLine="482"/>
        <w:rPr>
          <w:color w:val="auto"/>
          <w:highlight w:val="none"/>
        </w:rPr>
      </w:pPr>
      <w:bookmarkStart w:id="535" w:name="_Toc19406"/>
      <w:bookmarkStart w:id="536" w:name="_Toc27234"/>
      <w:bookmarkStart w:id="537" w:name="_Toc30361"/>
      <w:bookmarkStart w:id="538" w:name="_Toc25947"/>
      <w:bookmarkStart w:id="539" w:name="_Toc13888"/>
      <w:bookmarkStart w:id="540" w:name="_Toc29637"/>
      <w:bookmarkStart w:id="541" w:name="_Toc9965"/>
      <w:r>
        <w:rPr>
          <w:rFonts w:hint="eastAsia"/>
          <w:color w:val="auto"/>
          <w:highlight w:val="none"/>
        </w:rPr>
        <w:t>投标文件的</w:t>
      </w:r>
      <w:bookmarkEnd w:id="518"/>
      <w:bookmarkEnd w:id="519"/>
      <w:r>
        <w:rPr>
          <w:rFonts w:hint="eastAsia"/>
          <w:color w:val="auto"/>
          <w:highlight w:val="none"/>
        </w:rPr>
        <w:t>递交</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pPr>
        <w:pStyle w:val="65"/>
        <w:spacing w:line="520" w:lineRule="exact"/>
        <w:ind w:firstLine="480"/>
        <w:rPr>
          <w:color w:val="auto"/>
          <w:highlight w:val="none"/>
        </w:rPr>
      </w:pPr>
      <w:r>
        <w:rPr>
          <w:rFonts w:hint="eastAsia"/>
          <w:color w:val="auto"/>
          <w:highlight w:val="none"/>
        </w:rPr>
        <w:t>投标人应在招标文件规定的投标截止时间前，将投标文件按招标文件规定密封后送达开标地点。</w:t>
      </w:r>
    </w:p>
    <w:p>
      <w:pPr>
        <w:pStyle w:val="65"/>
        <w:spacing w:line="520" w:lineRule="exact"/>
        <w:ind w:firstLine="480"/>
        <w:rPr>
          <w:color w:val="auto"/>
          <w:highlight w:val="none"/>
        </w:rPr>
      </w:pPr>
      <w:r>
        <w:rPr>
          <w:rFonts w:hint="eastAsia"/>
          <w:color w:val="auto"/>
          <w:highlight w:val="none"/>
        </w:rPr>
        <w:t>逾期送达或者未按照招标文件要求密封的投标文件，将被采购代理机构拒收，并告知投标人不予接收的原因。</w:t>
      </w:r>
    </w:p>
    <w:p>
      <w:pPr>
        <w:pStyle w:val="65"/>
        <w:spacing w:line="520" w:lineRule="exact"/>
        <w:ind w:firstLine="480"/>
        <w:rPr>
          <w:color w:val="auto"/>
          <w:highlight w:val="none"/>
        </w:rPr>
      </w:pPr>
      <w:r>
        <w:rPr>
          <w:rFonts w:hint="eastAsia"/>
          <w:color w:val="auto"/>
          <w:highlight w:val="none"/>
        </w:rPr>
        <w:t>投标人应当在招标文件要求提交投标文件的截止时间前，将投标文件密封送达投标地点。采购人或者采购代理机构收到投标文件后，应当如实记载投标文件的送达时间和密封情况，签收保存，并向投标人出具签收回执。任何单位和个人不得在开标前开启投标文件。</w:t>
      </w:r>
    </w:p>
    <w:p>
      <w:pPr>
        <w:pStyle w:val="65"/>
        <w:spacing w:line="520" w:lineRule="exact"/>
        <w:ind w:firstLine="480"/>
        <w:rPr>
          <w:color w:val="auto"/>
          <w:highlight w:val="none"/>
        </w:rPr>
      </w:pPr>
      <w:r>
        <w:rPr>
          <w:rFonts w:hint="eastAsia"/>
          <w:color w:val="auto"/>
          <w:highlight w:val="none"/>
        </w:rPr>
        <w:t>递交投标文件时，投标供应商名称和投标文件的项目编号应当与报名供应商名称和招标文件的项目编号一致。但是，投标文件实质内容与报名供应商名称和招标文件的项目编号一致，只是封面文字错误的，可以在评标过程中当面予以澄清，以有效的澄清材料作为认定投标文件是否有效的依据。</w:t>
      </w:r>
    </w:p>
    <w:p>
      <w:pPr>
        <w:pStyle w:val="65"/>
        <w:spacing w:line="520" w:lineRule="exact"/>
        <w:ind w:firstLine="480"/>
        <w:rPr>
          <w:color w:val="auto"/>
          <w:highlight w:val="none"/>
        </w:rPr>
      </w:pPr>
      <w:r>
        <w:rPr>
          <w:rFonts w:hint="eastAsia"/>
          <w:color w:val="auto"/>
          <w:highlight w:val="none"/>
        </w:rPr>
        <w:t>本次招标不接收邮寄的投标文件。</w:t>
      </w:r>
    </w:p>
    <w:p>
      <w:pPr>
        <w:pStyle w:val="51"/>
        <w:spacing w:line="520" w:lineRule="exact"/>
        <w:ind w:firstLine="482"/>
        <w:rPr>
          <w:color w:val="auto"/>
          <w:highlight w:val="none"/>
        </w:rPr>
      </w:pPr>
      <w:bookmarkStart w:id="542" w:name="_Toc183582228"/>
      <w:bookmarkStart w:id="543" w:name="_Toc183682365"/>
      <w:bookmarkStart w:id="544" w:name="_Toc26118"/>
      <w:bookmarkStart w:id="545" w:name="_Toc319439899"/>
      <w:bookmarkStart w:id="546" w:name="_Toc4178"/>
      <w:bookmarkStart w:id="547" w:name="_Toc12138"/>
      <w:bookmarkStart w:id="548" w:name="_Toc17045"/>
      <w:bookmarkStart w:id="549" w:name="_Toc327196285"/>
      <w:bookmarkStart w:id="550" w:name="_Toc319440141"/>
      <w:bookmarkStart w:id="551" w:name="_Toc7313"/>
      <w:bookmarkStart w:id="552" w:name="_Toc307501108"/>
      <w:bookmarkStart w:id="553" w:name="_Toc309897514"/>
      <w:bookmarkStart w:id="554" w:name="_Toc1451"/>
      <w:bookmarkStart w:id="555" w:name="_Toc308188151"/>
      <w:bookmarkStart w:id="556" w:name="_Toc307564851"/>
      <w:bookmarkStart w:id="557" w:name="_Toc19291"/>
      <w:bookmarkStart w:id="558" w:name="_Toc6140"/>
      <w:bookmarkStart w:id="559" w:name="_Toc3865"/>
      <w:bookmarkStart w:id="560" w:name="_Toc23816"/>
      <w:bookmarkStart w:id="561" w:name="_Toc217446055"/>
      <w:bookmarkStart w:id="562" w:name="_Toc22634"/>
      <w:bookmarkStart w:id="563" w:name="_Toc15674"/>
      <w:bookmarkStart w:id="564" w:name="_Toc10903"/>
      <w:bookmarkStart w:id="565" w:name="_Toc308084596"/>
      <w:r>
        <w:rPr>
          <w:rFonts w:hint="eastAsia"/>
          <w:color w:val="auto"/>
          <w:highlight w:val="none"/>
        </w:rPr>
        <w:t>投标文件的修改和撤</w:t>
      </w:r>
      <w:bookmarkEnd w:id="542"/>
      <w:bookmarkEnd w:id="543"/>
      <w:r>
        <w:rPr>
          <w:rFonts w:hint="eastAsia"/>
          <w:color w:val="auto"/>
          <w:highlight w:val="none"/>
        </w:rPr>
        <w:t>回</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pPr>
        <w:pStyle w:val="65"/>
        <w:spacing w:line="520" w:lineRule="exact"/>
        <w:ind w:firstLine="480"/>
        <w:rPr>
          <w:color w:val="auto"/>
          <w:highlight w:val="none"/>
        </w:rPr>
      </w:pPr>
      <w:r>
        <w:rPr>
          <w:rFonts w:hint="eastAsia"/>
          <w:color w:val="auto"/>
          <w:highlight w:val="none"/>
        </w:rPr>
        <w:t>投标人在投标截止时间前，可以对所递交的投标文件进行补充、修改或者撤回，并书面通知采购人或者采购代理机构。补充、修改的内容应当按照招标文件要求签署、盖章、密封后，作为投标文件的组成部分。</w:t>
      </w:r>
    </w:p>
    <w:p>
      <w:pPr>
        <w:pStyle w:val="65"/>
        <w:spacing w:line="520" w:lineRule="exact"/>
        <w:ind w:firstLine="480"/>
        <w:rPr>
          <w:color w:val="auto"/>
          <w:highlight w:val="none"/>
        </w:rPr>
      </w:pPr>
      <w:r>
        <w:rPr>
          <w:rFonts w:hint="eastAsia"/>
          <w:color w:val="auto"/>
          <w:highlight w:val="none"/>
        </w:rPr>
        <w:t>投标人的修改书或撤回通知书，应由其法定代表人/单位负责人或授权代表签署并盖单位印章。修改书应按第二章第四节第十一条规定进行密封和标注，并在密封袋上标注“修改”字样。</w:t>
      </w:r>
    </w:p>
    <w:p>
      <w:pPr>
        <w:pStyle w:val="65"/>
        <w:spacing w:line="520" w:lineRule="exact"/>
        <w:ind w:firstLine="480"/>
        <w:rPr>
          <w:color w:val="auto"/>
          <w:highlight w:val="none"/>
        </w:rPr>
      </w:pPr>
      <w:r>
        <w:rPr>
          <w:rFonts w:hint="eastAsia"/>
          <w:color w:val="auto"/>
          <w:highlight w:val="none"/>
        </w:rPr>
        <w:t>在投标截止时间之后，投标人不得对其递交的投标文件做任何修改，撤回投标的，将按照有关规定进行相应处理。</w:t>
      </w:r>
    </w:p>
    <w:p>
      <w:pPr>
        <w:pStyle w:val="45"/>
        <w:spacing w:before="120" w:after="120" w:line="520" w:lineRule="exact"/>
        <w:rPr>
          <w:color w:val="auto"/>
          <w:highlight w:val="none"/>
        </w:rPr>
      </w:pPr>
      <w:bookmarkStart w:id="566" w:name="_Toc217446056"/>
      <w:bookmarkStart w:id="567" w:name="_Toc15691"/>
      <w:bookmarkStart w:id="568" w:name="_Toc77400782"/>
      <w:bookmarkStart w:id="569" w:name="_Toc89075878"/>
      <w:bookmarkStart w:id="570" w:name="_Toc183682368"/>
      <w:bookmarkStart w:id="571" w:name="_Toc327196286"/>
      <w:bookmarkStart w:id="572" w:name="_Toc21531"/>
      <w:bookmarkStart w:id="573" w:name="_Toc1835"/>
      <w:bookmarkStart w:id="574" w:name="_Toc22123"/>
      <w:bookmarkStart w:id="575" w:name="_Toc183582231"/>
      <w:bookmarkStart w:id="576" w:name="_Toc16817"/>
      <w:bookmarkStart w:id="577" w:name="_Toc24962"/>
      <w:r>
        <w:rPr>
          <w:rFonts w:hint="eastAsia"/>
          <w:color w:val="auto"/>
          <w:highlight w:val="none"/>
        </w:rPr>
        <w:t>开标和中标</w:t>
      </w:r>
      <w:bookmarkEnd w:id="566"/>
      <w:bookmarkEnd w:id="567"/>
      <w:bookmarkEnd w:id="568"/>
      <w:bookmarkEnd w:id="569"/>
      <w:bookmarkEnd w:id="570"/>
      <w:bookmarkEnd w:id="571"/>
      <w:bookmarkEnd w:id="572"/>
      <w:bookmarkEnd w:id="573"/>
      <w:bookmarkEnd w:id="574"/>
      <w:bookmarkEnd w:id="575"/>
      <w:bookmarkEnd w:id="576"/>
      <w:bookmarkEnd w:id="577"/>
    </w:p>
    <w:p>
      <w:pPr>
        <w:pStyle w:val="51"/>
        <w:numPr>
          <w:ilvl w:val="2"/>
          <w:numId w:val="17"/>
        </w:numPr>
        <w:spacing w:line="520" w:lineRule="exact"/>
        <w:ind w:firstLine="482"/>
        <w:rPr>
          <w:color w:val="auto"/>
          <w:highlight w:val="none"/>
        </w:rPr>
      </w:pPr>
      <w:bookmarkStart w:id="578" w:name="_Toc307501110"/>
      <w:bookmarkStart w:id="579" w:name="_Toc319440143"/>
      <w:bookmarkStart w:id="580" w:name="_Toc183582232"/>
      <w:bookmarkStart w:id="581" w:name="_Toc11957"/>
      <w:bookmarkStart w:id="582" w:name="_Toc183682369"/>
      <w:bookmarkStart w:id="583" w:name="_Toc15426"/>
      <w:bookmarkStart w:id="584" w:name="_Toc23998"/>
      <w:bookmarkStart w:id="585" w:name="_Toc12054"/>
      <w:bookmarkStart w:id="586" w:name="_Toc307564853"/>
      <w:bookmarkStart w:id="587" w:name="_Toc319439901"/>
      <w:bookmarkStart w:id="588" w:name="_Toc29749"/>
      <w:bookmarkStart w:id="589" w:name="_Toc327196287"/>
      <w:bookmarkStart w:id="590" w:name="_Toc13303"/>
      <w:bookmarkStart w:id="591" w:name="_Toc308084598"/>
      <w:bookmarkStart w:id="592" w:name="_Toc217446057"/>
      <w:bookmarkStart w:id="593" w:name="_Toc29493"/>
      <w:bookmarkStart w:id="594" w:name="_Toc19952"/>
      <w:bookmarkStart w:id="595" w:name="_Toc309897516"/>
      <w:bookmarkStart w:id="596" w:name="_Toc18049"/>
      <w:bookmarkStart w:id="597" w:name="_Toc29031"/>
      <w:bookmarkStart w:id="598" w:name="_Toc308188153"/>
      <w:bookmarkStart w:id="599" w:name="_Toc13237"/>
      <w:bookmarkStart w:id="600" w:name="_Toc8915"/>
      <w:bookmarkStart w:id="601" w:name="_Toc6289"/>
      <w:r>
        <w:rPr>
          <w:rFonts w:hint="eastAsia"/>
          <w:color w:val="auto"/>
          <w:highlight w:val="none"/>
        </w:rPr>
        <w:t>开标</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pPr>
        <w:pStyle w:val="65"/>
        <w:numPr>
          <w:ilvl w:val="3"/>
          <w:numId w:val="18"/>
        </w:numPr>
        <w:spacing w:line="520" w:lineRule="exact"/>
        <w:ind w:firstLine="480"/>
        <w:rPr>
          <w:color w:val="auto"/>
          <w:highlight w:val="none"/>
        </w:rPr>
      </w:pPr>
      <w:bookmarkStart w:id="602" w:name="_Toc307501111"/>
      <w:bookmarkStart w:id="603" w:name="_Toc217446058"/>
      <w:bookmarkStart w:id="604" w:name="_Toc309897517"/>
      <w:bookmarkStart w:id="605" w:name="_Toc319440144"/>
      <w:bookmarkStart w:id="606" w:name="_Toc319439902"/>
      <w:bookmarkStart w:id="607" w:name="_Toc307564854"/>
      <w:bookmarkStart w:id="608" w:name="_Toc308188154"/>
      <w:bookmarkStart w:id="609" w:name="_Toc327196288"/>
      <w:bookmarkStart w:id="610" w:name="_Toc308084599"/>
      <w:r>
        <w:rPr>
          <w:rFonts w:hint="eastAsia"/>
          <w:color w:val="auto"/>
          <w:highlight w:val="none"/>
        </w:rPr>
        <w:t>开标在招标文件规定的时间和地点公开进行，采购人、投标人须派代表参加并签到以证明其出席。开标由采购代理机构主持，采购人、投标人代表参加。评标专家不参加开标活动。投标人未参加开标的，视同认可开标结果。</w:t>
      </w:r>
    </w:p>
    <w:p>
      <w:pPr>
        <w:pStyle w:val="65"/>
        <w:numPr>
          <w:ilvl w:val="3"/>
          <w:numId w:val="18"/>
        </w:numPr>
        <w:spacing w:line="520" w:lineRule="exact"/>
        <w:ind w:firstLine="480"/>
        <w:rPr>
          <w:color w:val="auto"/>
          <w:highlight w:val="none"/>
        </w:rPr>
      </w:pPr>
      <w:r>
        <w:rPr>
          <w:rFonts w:hint="eastAsia"/>
          <w:color w:val="auto"/>
          <w:highlight w:val="none"/>
        </w:rPr>
        <w:t>开标活动对外公开，在保证正常开标秩序的前提下，允许除投标人及其代表之外的其他人员观摩开标活动。其他人员需要参加开标活动的，须事先向采购代理机构书面申请并取得同意后方能参加，且在开标现场须服从采购代理机构的安排。</w:t>
      </w:r>
    </w:p>
    <w:p>
      <w:pPr>
        <w:pStyle w:val="65"/>
        <w:numPr>
          <w:ilvl w:val="3"/>
          <w:numId w:val="18"/>
        </w:numPr>
        <w:spacing w:line="520" w:lineRule="exact"/>
        <w:ind w:firstLine="480"/>
        <w:rPr>
          <w:color w:val="auto"/>
          <w:highlight w:val="none"/>
        </w:rPr>
      </w:pPr>
      <w:r>
        <w:rPr>
          <w:rFonts w:hint="eastAsia"/>
          <w:color w:val="auto"/>
          <w:highlight w:val="none"/>
        </w:rPr>
        <w:t>开标时，可根据具体情况邀请有关监督管理部门对开标活动进行现场监督。</w:t>
      </w:r>
    </w:p>
    <w:p>
      <w:pPr>
        <w:pStyle w:val="65"/>
        <w:numPr>
          <w:ilvl w:val="3"/>
          <w:numId w:val="18"/>
        </w:numPr>
        <w:spacing w:line="520" w:lineRule="exact"/>
        <w:ind w:firstLine="480"/>
        <w:rPr>
          <w:color w:val="auto"/>
          <w:highlight w:val="none"/>
        </w:rPr>
      </w:pPr>
      <w:r>
        <w:rPr>
          <w:rFonts w:hint="eastAsia"/>
          <w:color w:val="auto"/>
          <w:highlight w:val="none"/>
        </w:rPr>
        <w:t>开标时，由投标人或者其推选的代表先检查其自己递交的投标文件的密封情况，经确认无误后，由招标工作人员将投标人单独提交用于开标唱标的“开标一览表”当众拆封，并由唱标人员按照招标文件规定的内容进行宣读。</w:t>
      </w:r>
    </w:p>
    <w:p>
      <w:pPr>
        <w:pStyle w:val="65"/>
        <w:numPr>
          <w:ilvl w:val="3"/>
          <w:numId w:val="18"/>
        </w:numPr>
        <w:spacing w:line="520" w:lineRule="exact"/>
        <w:ind w:firstLine="480"/>
        <w:rPr>
          <w:color w:val="auto"/>
          <w:highlight w:val="none"/>
        </w:rPr>
      </w:pPr>
      <w:r>
        <w:rPr>
          <w:rFonts w:hint="eastAsia"/>
          <w:color w:val="auto"/>
          <w:highlight w:val="none"/>
        </w:rPr>
        <w:t>投标人或者其推选的代表确认投标文件情况，仅限于确认其自己递交的投标文件的密封情况，不代表对其他投标人的投标文件的密封情况确认。投标人或者其推选的代表对其他投标人的投标文件密封情况有异议的，可以当场反映至开标主持人或者现场监督人员，要求开标现场记录人员予以记录，但不得干扰、阻挠开标工作的正常进行。</w:t>
      </w:r>
    </w:p>
    <w:p>
      <w:pPr>
        <w:pStyle w:val="65"/>
        <w:numPr>
          <w:ilvl w:val="3"/>
          <w:numId w:val="18"/>
        </w:numPr>
        <w:spacing w:line="520" w:lineRule="exact"/>
        <w:ind w:firstLine="480"/>
        <w:rPr>
          <w:color w:val="auto"/>
          <w:highlight w:val="none"/>
        </w:rPr>
      </w:pPr>
      <w:r>
        <w:rPr>
          <w:rFonts w:hint="eastAsia"/>
          <w:color w:val="auto"/>
          <w:highlight w:val="none"/>
        </w:rPr>
        <w:t>开标时，“开标一览表”中的大写金额与小写金额不一致的，以大写金额为准；总价金额与按单价计算的汇总金额不一致的，以单价计算的汇总金额为准；单价金额有明显小数点错误的，以总价为准，并修改单价。</w:t>
      </w:r>
    </w:p>
    <w:p>
      <w:pPr>
        <w:pStyle w:val="65"/>
        <w:numPr>
          <w:ilvl w:val="3"/>
          <w:numId w:val="18"/>
        </w:numPr>
        <w:spacing w:line="520" w:lineRule="exact"/>
        <w:ind w:firstLine="480"/>
        <w:rPr>
          <w:color w:val="auto"/>
          <w:highlight w:val="none"/>
        </w:rPr>
      </w:pPr>
      <w:r>
        <w:rPr>
          <w:rFonts w:hint="eastAsia"/>
          <w:color w:val="auto"/>
          <w:highlight w:val="none"/>
        </w:rPr>
        <w:t>投标文件中相关内容与“开标一览表”不一致的，以“开标一览表”为准。对不同文字文本投标文件的解释发生异议的，以中文文本为准。</w:t>
      </w:r>
    </w:p>
    <w:p>
      <w:pPr>
        <w:pStyle w:val="65"/>
        <w:numPr>
          <w:ilvl w:val="3"/>
          <w:numId w:val="18"/>
        </w:numPr>
        <w:spacing w:line="520" w:lineRule="exact"/>
        <w:ind w:firstLine="480"/>
        <w:rPr>
          <w:color w:val="auto"/>
          <w:highlight w:val="none"/>
        </w:rPr>
      </w:pPr>
      <w:r>
        <w:rPr>
          <w:rFonts w:hint="eastAsia"/>
          <w:color w:val="auto"/>
          <w:highlight w:val="none"/>
        </w:rPr>
        <w:t>所有投标唱标完毕，如投标人代表对宣读的“开标一览表”上的内容有异议的，应在获得开标会主持人同意后当场提出。如确实属于唱标人员宣读错了的，经现场监督人员核实后，当场予以更正。</w:t>
      </w:r>
    </w:p>
    <w:p>
      <w:pPr>
        <w:pStyle w:val="51"/>
        <w:numPr>
          <w:ilvl w:val="2"/>
          <w:numId w:val="17"/>
        </w:numPr>
        <w:spacing w:line="520" w:lineRule="exact"/>
        <w:ind w:firstLine="482"/>
        <w:rPr>
          <w:color w:val="auto"/>
          <w:highlight w:val="none"/>
        </w:rPr>
      </w:pPr>
      <w:bookmarkStart w:id="611" w:name="_Toc5097"/>
      <w:bookmarkStart w:id="612" w:name="_Toc20885"/>
      <w:bookmarkStart w:id="613" w:name="_Toc15266"/>
      <w:bookmarkStart w:id="614" w:name="_Toc26350"/>
      <w:bookmarkStart w:id="615" w:name="_Toc827"/>
      <w:bookmarkStart w:id="616" w:name="_Toc10782"/>
      <w:bookmarkStart w:id="617" w:name="_Toc7168"/>
      <w:bookmarkStart w:id="618" w:name="_Toc24509"/>
      <w:bookmarkStart w:id="619" w:name="_Toc12755"/>
      <w:bookmarkStart w:id="620" w:name="_Toc32525"/>
      <w:bookmarkStart w:id="621" w:name="_Toc16540"/>
      <w:bookmarkStart w:id="622" w:name="_Toc17927"/>
      <w:bookmarkStart w:id="623" w:name="_Toc18256"/>
      <w:r>
        <w:rPr>
          <w:rFonts w:hint="eastAsia"/>
          <w:color w:val="auto"/>
          <w:highlight w:val="none"/>
        </w:rPr>
        <w:t>开标程序</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pPr>
        <w:pStyle w:val="48"/>
        <w:spacing w:line="520" w:lineRule="exact"/>
        <w:rPr>
          <w:color w:val="auto"/>
          <w:highlight w:val="none"/>
        </w:rPr>
      </w:pPr>
      <w:r>
        <w:rPr>
          <w:rFonts w:hint="eastAsia"/>
          <w:color w:val="auto"/>
          <w:highlight w:val="none"/>
        </w:rPr>
        <w:t>开标会主持人按照招标文件规定的开标时间宣布开标，按照规定要求主持开标会。开标将按以下程序进行：</w:t>
      </w:r>
    </w:p>
    <w:p>
      <w:pPr>
        <w:pStyle w:val="65"/>
        <w:numPr>
          <w:ilvl w:val="3"/>
          <w:numId w:val="17"/>
        </w:numPr>
        <w:spacing w:line="520" w:lineRule="exact"/>
        <w:ind w:firstLine="480"/>
        <w:rPr>
          <w:color w:val="auto"/>
          <w:highlight w:val="none"/>
        </w:rPr>
      </w:pPr>
      <w:bookmarkStart w:id="624" w:name="_Toc13983"/>
      <w:bookmarkStart w:id="625" w:name="_Toc13447"/>
      <w:bookmarkStart w:id="626" w:name="_Toc183582238"/>
      <w:bookmarkStart w:id="627" w:name="_Toc183682375"/>
      <w:bookmarkStart w:id="628" w:name="_Toc307564855"/>
      <w:bookmarkStart w:id="629" w:name="_Toc307501112"/>
      <w:bookmarkStart w:id="630" w:name="_Toc308188155"/>
      <w:bookmarkStart w:id="631" w:name="_Toc308084600"/>
      <w:bookmarkStart w:id="632" w:name="_Toc28123"/>
      <w:bookmarkStart w:id="633" w:name="_Toc319440145"/>
      <w:bookmarkStart w:id="634" w:name="_Toc489"/>
      <w:bookmarkStart w:id="635" w:name="_Toc309897518"/>
      <w:bookmarkStart w:id="636" w:name="_Toc15967"/>
      <w:bookmarkStart w:id="637" w:name="_Toc8800"/>
      <w:bookmarkStart w:id="638" w:name="_Toc217446063"/>
      <w:bookmarkStart w:id="639" w:name="_Toc9806"/>
      <w:bookmarkStart w:id="640" w:name="_Toc327196289"/>
      <w:bookmarkStart w:id="641" w:name="_Toc13751"/>
      <w:bookmarkStart w:id="642" w:name="_Toc28481"/>
      <w:bookmarkStart w:id="643" w:name="_Toc319439903"/>
      <w:bookmarkStart w:id="644" w:name="_Toc16512"/>
      <w:r>
        <w:rPr>
          <w:rFonts w:hint="eastAsia"/>
          <w:color w:val="auto"/>
          <w:highlight w:val="none"/>
        </w:rPr>
        <w:t>宣布开标会开始。当众宣布参加开标会主持人(唱标人)、会议记录人以及根据情况邀请的现场监督人等工作人员，根据“投标文件递交登记表”宣布参加投标的供应商名单。</w:t>
      </w:r>
    </w:p>
    <w:p>
      <w:pPr>
        <w:pStyle w:val="65"/>
        <w:numPr>
          <w:ilvl w:val="3"/>
          <w:numId w:val="17"/>
        </w:numPr>
        <w:spacing w:line="520" w:lineRule="exact"/>
        <w:ind w:firstLine="480"/>
        <w:rPr>
          <w:color w:val="auto"/>
          <w:highlight w:val="none"/>
        </w:rPr>
      </w:pPr>
      <w:r>
        <w:rPr>
          <w:rFonts w:hint="eastAsia"/>
          <w:color w:val="auto"/>
          <w:highlight w:val="none"/>
        </w:rPr>
        <w:t>宣布会场纪律和有关注意事项，根据投标人或者其推选的代表对投标文件密封的检查结果，当众宣布投标文件的密封情况。</w:t>
      </w:r>
    </w:p>
    <w:p>
      <w:pPr>
        <w:pStyle w:val="65"/>
        <w:numPr>
          <w:ilvl w:val="3"/>
          <w:numId w:val="17"/>
        </w:numPr>
        <w:spacing w:line="520" w:lineRule="exact"/>
        <w:ind w:firstLine="480"/>
        <w:rPr>
          <w:color w:val="auto"/>
          <w:highlight w:val="none"/>
        </w:rPr>
      </w:pPr>
      <w:r>
        <w:rPr>
          <w:rFonts w:hint="eastAsia"/>
          <w:color w:val="auto"/>
          <w:highlight w:val="none"/>
        </w:rPr>
        <w:t>投标人不足3家的，不得开标。</w:t>
      </w:r>
    </w:p>
    <w:p>
      <w:pPr>
        <w:pStyle w:val="65"/>
        <w:numPr>
          <w:ilvl w:val="3"/>
          <w:numId w:val="17"/>
        </w:numPr>
        <w:spacing w:line="520" w:lineRule="exact"/>
        <w:ind w:firstLine="480"/>
        <w:rPr>
          <w:color w:val="auto"/>
          <w:highlight w:val="none"/>
        </w:rPr>
      </w:pPr>
      <w:r>
        <w:rPr>
          <w:rFonts w:hint="eastAsia"/>
          <w:color w:val="auto"/>
          <w:highlight w:val="none"/>
        </w:rPr>
        <w:t>开标唱标。主持人宣布开标后，由现场工作人员按任意顺序对单独用于开标唱标的“开标一览表”当众进行拆封，由唱标人员宣读投标人名称、投标价格(价格折扣)、或招标文件允许提供的备选投标方案和投标文件的其他主要内容。未宣读的投标价格(价格折扣)或招标文件允许提供的备选投标方案，评标时不予承认。同时，做好开标记录。唱标人员在唱标过程中，如遇有字迹不清楚的，应即刻报告主持人，经工作人员和现场监督人员核实后，主持人立即请投标人代表现场进行澄清或确认。</w:t>
      </w:r>
    </w:p>
    <w:p>
      <w:pPr>
        <w:pStyle w:val="65"/>
        <w:numPr>
          <w:ilvl w:val="3"/>
          <w:numId w:val="17"/>
        </w:numPr>
        <w:spacing w:line="520" w:lineRule="exact"/>
        <w:ind w:firstLine="480"/>
        <w:rPr>
          <w:color w:val="auto"/>
          <w:highlight w:val="none"/>
        </w:rPr>
      </w:pPr>
      <w:r>
        <w:rPr>
          <w:rFonts w:hint="eastAsia"/>
          <w:color w:val="auto"/>
          <w:highlight w:val="none"/>
        </w:rPr>
        <w:t>唱标完毕后投标人或者其推选的代表需现场对开标记录进行签字确认，投标人或者其推选的代表对唱标内容有异议的，可以当场提出，并要求会议记录人在开标记录中予以记录，或者另行提供书面异议资料，不签字又不提出异议的，视同认可唱标内容和结果，且不得干扰、阻挠开(唱)标、评标工作。</w:t>
      </w:r>
    </w:p>
    <w:p>
      <w:pPr>
        <w:pStyle w:val="65"/>
        <w:numPr>
          <w:ilvl w:val="3"/>
          <w:numId w:val="17"/>
        </w:numPr>
        <w:spacing w:line="520" w:lineRule="exact"/>
        <w:ind w:firstLine="480"/>
        <w:rPr>
          <w:color w:val="auto"/>
          <w:highlight w:val="none"/>
        </w:rPr>
      </w:pPr>
      <w:r>
        <w:rPr>
          <w:rFonts w:hint="eastAsia"/>
          <w:color w:val="auto"/>
          <w:highlight w:val="none"/>
        </w:rPr>
        <w:t>宣布开标会结束。主持人宣布开标会结束。所有投标人代表应立即退场(招标文件要求有演示、介绍等的除外)。同时所有投标人应保持通讯设备的畅通，以方便在评标过程中评标委员会要求投标人对投标文件的必要澄清。投标人自行在</w:t>
      </w:r>
      <w:r>
        <w:rPr>
          <w:rFonts w:hint="eastAsia"/>
          <w:color w:val="auto"/>
          <w:highlight w:val="none"/>
          <w:lang w:eastAsia="zh-CN"/>
        </w:rPr>
        <w:t>“中国招标投标公共服务平台”</w:t>
      </w:r>
      <w:r>
        <w:rPr>
          <w:rFonts w:hint="eastAsia"/>
          <w:color w:val="auto"/>
          <w:highlight w:val="none"/>
        </w:rPr>
        <w:t>查询评标结果。</w:t>
      </w:r>
    </w:p>
    <w:bookmarkEnd w:id="624"/>
    <w:bookmarkEnd w:id="625"/>
    <w:p>
      <w:pPr>
        <w:pStyle w:val="51"/>
        <w:spacing w:line="520" w:lineRule="exact"/>
        <w:ind w:firstLine="482"/>
        <w:rPr>
          <w:color w:val="auto"/>
          <w:highlight w:val="none"/>
        </w:rPr>
      </w:pPr>
      <w:bookmarkStart w:id="645" w:name="_Toc517"/>
      <w:bookmarkStart w:id="646" w:name="_Toc30196"/>
      <w:bookmarkStart w:id="647" w:name="_Toc128"/>
      <w:bookmarkStart w:id="648" w:name="_Toc6332"/>
      <w:r>
        <w:rPr>
          <w:rFonts w:hint="eastAsia"/>
          <w:color w:val="auto"/>
          <w:highlight w:val="none"/>
        </w:rPr>
        <w:t>开评标过程存档</w:t>
      </w:r>
      <w:bookmarkEnd w:id="645"/>
      <w:bookmarkEnd w:id="646"/>
    </w:p>
    <w:p>
      <w:pPr>
        <w:pStyle w:val="44"/>
        <w:spacing w:line="520" w:lineRule="exact"/>
        <w:ind w:firstLine="480" w:firstLineChars="200"/>
        <w:rPr>
          <w:color w:val="auto"/>
          <w:highlight w:val="none"/>
        </w:rPr>
      </w:pPr>
      <w:r>
        <w:rPr>
          <w:rFonts w:hint="eastAsia"/>
          <w:color w:val="auto"/>
          <w:highlight w:val="none"/>
        </w:rPr>
        <w:t>开标和评标过程进行全过程电子监控，并将电子监控资料存储介质留存归档。</w:t>
      </w:r>
    </w:p>
    <w:p>
      <w:pPr>
        <w:pStyle w:val="51"/>
        <w:spacing w:line="520" w:lineRule="exact"/>
        <w:ind w:firstLine="482"/>
        <w:rPr>
          <w:color w:val="auto"/>
          <w:highlight w:val="none"/>
        </w:rPr>
      </w:pPr>
      <w:bookmarkStart w:id="649" w:name="_Toc16921"/>
      <w:bookmarkStart w:id="650" w:name="_Toc25355"/>
      <w:bookmarkStart w:id="651" w:name="_Toc32453"/>
      <w:r>
        <w:rPr>
          <w:rFonts w:hint="eastAsia"/>
          <w:color w:val="auto"/>
          <w:highlight w:val="none"/>
        </w:rPr>
        <w:t>中标结果</w:t>
      </w:r>
      <w:bookmarkEnd w:id="649"/>
      <w:bookmarkEnd w:id="650"/>
    </w:p>
    <w:p>
      <w:pPr>
        <w:pStyle w:val="65"/>
        <w:spacing w:line="520" w:lineRule="exact"/>
        <w:ind w:firstLine="480"/>
        <w:rPr>
          <w:color w:val="auto"/>
          <w:highlight w:val="none"/>
        </w:rPr>
      </w:pPr>
      <w:r>
        <w:rPr>
          <w:rFonts w:hint="eastAsia"/>
          <w:color w:val="auto"/>
          <w:highlight w:val="none"/>
        </w:rPr>
        <w:t>采购代理机构在中标人确定后2个工作日内，在</w:t>
      </w:r>
      <w:r>
        <w:rPr>
          <w:rFonts w:hint="eastAsia"/>
          <w:color w:val="auto"/>
          <w:highlight w:val="none"/>
          <w:lang w:eastAsia="zh-CN"/>
        </w:rPr>
        <w:t>“中国招标投标公共服务平台”</w:t>
      </w:r>
      <w:r>
        <w:rPr>
          <w:rFonts w:hint="eastAsia"/>
          <w:color w:val="auto"/>
          <w:highlight w:val="none"/>
        </w:rPr>
        <w:t>发布中标公告，同时采购代理机构将中标通知书快递至中标人。</w:t>
      </w:r>
    </w:p>
    <w:p>
      <w:pPr>
        <w:pStyle w:val="65"/>
        <w:spacing w:line="520" w:lineRule="exact"/>
        <w:ind w:firstLine="480"/>
        <w:rPr>
          <w:color w:val="auto"/>
          <w:highlight w:val="none"/>
        </w:rPr>
      </w:pPr>
      <w:bookmarkStart w:id="652" w:name="_Toc25350"/>
      <w:r>
        <w:rPr>
          <w:rFonts w:hint="eastAsia"/>
          <w:color w:val="auto"/>
          <w:highlight w:val="none"/>
        </w:rPr>
        <w:t>采购项目需要交纳履约保证金的，中标供应商应当按照规定和要求及时向采购人交纳。</w:t>
      </w:r>
      <w:bookmarkEnd w:id="652"/>
    </w:p>
    <w:p>
      <w:pPr>
        <w:pStyle w:val="51"/>
        <w:spacing w:line="520" w:lineRule="exact"/>
        <w:ind w:firstLine="482"/>
        <w:rPr>
          <w:color w:val="auto"/>
          <w:highlight w:val="none"/>
        </w:rPr>
      </w:pPr>
      <w:bookmarkStart w:id="653" w:name="_Toc21458"/>
      <w:bookmarkStart w:id="654" w:name="_Toc19553"/>
      <w:r>
        <w:rPr>
          <w:rFonts w:hint="eastAsia"/>
          <w:color w:val="auto"/>
          <w:highlight w:val="none"/>
        </w:rPr>
        <w:t>中标通知</w:t>
      </w:r>
      <w:bookmarkEnd w:id="626"/>
      <w:bookmarkEnd w:id="627"/>
      <w:r>
        <w:rPr>
          <w:rFonts w:hint="eastAsia"/>
          <w:color w:val="auto"/>
          <w:highlight w:val="none"/>
        </w:rPr>
        <w:t>书</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7"/>
      <w:bookmarkEnd w:id="648"/>
      <w:bookmarkEnd w:id="651"/>
      <w:bookmarkEnd w:id="653"/>
      <w:bookmarkEnd w:id="654"/>
    </w:p>
    <w:p>
      <w:pPr>
        <w:pStyle w:val="65"/>
        <w:spacing w:line="520" w:lineRule="exact"/>
        <w:ind w:firstLine="480"/>
        <w:rPr>
          <w:color w:val="auto"/>
          <w:highlight w:val="none"/>
        </w:rPr>
      </w:pPr>
      <w:r>
        <w:rPr>
          <w:rFonts w:hint="eastAsia"/>
          <w:color w:val="auto"/>
          <w:highlight w:val="none"/>
        </w:rPr>
        <w:t>中标通知书为签订</w:t>
      </w:r>
      <w:r>
        <w:rPr>
          <w:rFonts w:hint="eastAsia"/>
          <w:color w:val="auto"/>
          <w:highlight w:val="none"/>
          <w:lang w:eastAsia="zh-CN"/>
        </w:rPr>
        <w:t>采购合同</w:t>
      </w:r>
      <w:r>
        <w:rPr>
          <w:rFonts w:hint="eastAsia"/>
          <w:color w:val="auto"/>
          <w:highlight w:val="none"/>
        </w:rPr>
        <w:t>的依据，是合同的有效组成部分。</w:t>
      </w:r>
    </w:p>
    <w:p>
      <w:pPr>
        <w:pStyle w:val="65"/>
        <w:spacing w:line="520" w:lineRule="exact"/>
        <w:ind w:firstLine="480"/>
        <w:rPr>
          <w:color w:val="auto"/>
          <w:highlight w:val="none"/>
        </w:rPr>
      </w:pPr>
      <w:r>
        <w:rPr>
          <w:rFonts w:hint="eastAsia"/>
          <w:color w:val="auto"/>
          <w:highlight w:val="none"/>
        </w:rPr>
        <w:t>中标通知书对采购人和中标人均具有法律效力。中标通知书发出后，采购人改变中标结果，或者中标人无正当理由放弃中标的，应当承担相应的法律责任。</w:t>
      </w:r>
    </w:p>
    <w:p>
      <w:pPr>
        <w:pStyle w:val="65"/>
        <w:spacing w:line="520" w:lineRule="exact"/>
        <w:ind w:firstLine="480"/>
        <w:rPr>
          <w:color w:val="auto"/>
          <w:highlight w:val="none"/>
        </w:rPr>
      </w:pPr>
      <w:r>
        <w:rPr>
          <w:rFonts w:hint="eastAsia"/>
          <w:color w:val="auto"/>
          <w:highlight w:val="none"/>
        </w:rPr>
        <w:t>中标人的投标文件本应作为无效投标处理或者有法律法规规章制度规定的中标无效情形的，采购代理机构在取得有权主体的认定以后，应当宣布发出的中标通知书无效，并收回发出的中标通知书(中标人也应当缴回)，依法重新确定中标人或者重新开展采购活动。</w:t>
      </w:r>
    </w:p>
    <w:p>
      <w:pPr>
        <w:pStyle w:val="65"/>
        <w:spacing w:line="520" w:lineRule="exact"/>
        <w:ind w:firstLine="480"/>
        <w:rPr>
          <w:color w:val="auto"/>
          <w:highlight w:val="none"/>
        </w:rPr>
      </w:pPr>
      <w:r>
        <w:rPr>
          <w:rFonts w:hint="eastAsia" w:cs="宋体"/>
          <w:color w:val="auto"/>
          <w:highlight w:val="none"/>
        </w:rPr>
        <w:t>中标人应主动关注</w:t>
      </w:r>
      <w:r>
        <w:rPr>
          <w:rFonts w:hint="eastAsia"/>
          <w:color w:val="auto"/>
          <w:highlight w:val="none"/>
          <w:lang w:eastAsia="zh-CN"/>
        </w:rPr>
        <w:t>“中国招标投标公共服务平台”</w:t>
      </w:r>
      <w:r>
        <w:rPr>
          <w:rFonts w:hint="eastAsia" w:cs="宋体"/>
          <w:color w:val="auto"/>
          <w:highlight w:val="none"/>
        </w:rPr>
        <w:t>公告信息</w:t>
      </w:r>
      <w:r>
        <w:rPr>
          <w:rFonts w:hint="eastAsia" w:cs="宋体"/>
          <w:color w:val="auto"/>
          <w:highlight w:val="none"/>
          <w:lang w:val="zh-CN"/>
        </w:rPr>
        <w:t>、</w:t>
      </w:r>
      <w:r>
        <w:rPr>
          <w:rFonts w:hint="eastAsia" w:cs="宋体"/>
          <w:color w:val="auto"/>
          <w:highlight w:val="none"/>
        </w:rPr>
        <w:t>并积极配合代理机构办理中标通知书事宜。</w:t>
      </w:r>
      <w:r>
        <w:rPr>
          <w:rFonts w:hint="eastAsia"/>
          <w:color w:val="auto"/>
          <w:highlight w:val="none"/>
        </w:rPr>
        <w:t>逾期未主动领取</w:t>
      </w:r>
      <w:r>
        <w:rPr>
          <w:rFonts w:hint="eastAsia" w:cs="宋体"/>
          <w:color w:val="auto"/>
          <w:highlight w:val="none"/>
          <w:lang w:val="zh-CN"/>
        </w:rPr>
        <w:t>中标通知书</w:t>
      </w:r>
      <w:r>
        <w:rPr>
          <w:rFonts w:hint="eastAsia" w:cs="宋体"/>
          <w:color w:val="auto"/>
          <w:highlight w:val="none"/>
        </w:rPr>
        <w:t>或不配合代理机构发出中标通知书</w:t>
      </w:r>
      <w:r>
        <w:rPr>
          <w:rFonts w:hint="eastAsia" w:cs="宋体"/>
          <w:color w:val="auto"/>
          <w:highlight w:val="none"/>
          <w:lang w:val="zh-CN"/>
        </w:rPr>
        <w:t>的</w:t>
      </w:r>
      <w:r>
        <w:rPr>
          <w:rFonts w:hint="eastAsia" w:cs="宋体"/>
          <w:color w:val="auto"/>
          <w:highlight w:val="none"/>
        </w:rPr>
        <w:t>一切不利后果由中标人自行承担。</w:t>
      </w:r>
    </w:p>
    <w:p>
      <w:pPr>
        <w:pStyle w:val="45"/>
        <w:spacing w:before="120" w:after="120" w:line="520" w:lineRule="exact"/>
        <w:rPr>
          <w:color w:val="auto"/>
          <w:highlight w:val="none"/>
        </w:rPr>
      </w:pPr>
      <w:bookmarkStart w:id="655" w:name="_Toc4365"/>
      <w:bookmarkStart w:id="656" w:name="_Toc13383"/>
      <w:bookmarkStart w:id="657" w:name="_Toc10354"/>
      <w:bookmarkStart w:id="658" w:name="_Toc217446064"/>
      <w:bookmarkStart w:id="659" w:name="_Toc1969"/>
      <w:bookmarkStart w:id="660" w:name="_Toc2685"/>
      <w:bookmarkStart w:id="661" w:name="_Toc327196290"/>
      <w:bookmarkStart w:id="662" w:name="_Toc30422"/>
      <w:bookmarkStart w:id="663" w:name="_Toc183682377"/>
      <w:bookmarkStart w:id="664" w:name="_Toc183582240"/>
      <w:r>
        <w:rPr>
          <w:rFonts w:hint="eastAsia"/>
          <w:color w:val="auto"/>
          <w:highlight w:val="none"/>
        </w:rPr>
        <w:t>签订及履行合同和验收</w:t>
      </w:r>
      <w:bookmarkEnd w:id="655"/>
      <w:bookmarkEnd w:id="656"/>
      <w:bookmarkEnd w:id="657"/>
      <w:bookmarkEnd w:id="658"/>
      <w:bookmarkEnd w:id="659"/>
      <w:bookmarkEnd w:id="660"/>
      <w:bookmarkEnd w:id="661"/>
      <w:bookmarkEnd w:id="662"/>
    </w:p>
    <w:p>
      <w:pPr>
        <w:pStyle w:val="51"/>
        <w:numPr>
          <w:ilvl w:val="2"/>
          <w:numId w:val="19"/>
        </w:numPr>
        <w:spacing w:line="520" w:lineRule="exact"/>
        <w:ind w:firstLine="482"/>
        <w:rPr>
          <w:color w:val="auto"/>
          <w:highlight w:val="none"/>
        </w:rPr>
      </w:pPr>
      <w:bookmarkStart w:id="665" w:name="_Toc5659"/>
      <w:bookmarkStart w:id="666" w:name="_Toc3130"/>
      <w:bookmarkStart w:id="667" w:name="_Toc25992"/>
      <w:bookmarkStart w:id="668" w:name="_Toc307501114"/>
      <w:bookmarkStart w:id="669" w:name="_Toc327196291"/>
      <w:bookmarkStart w:id="670" w:name="_Toc515"/>
      <w:bookmarkStart w:id="671" w:name="_Toc4460"/>
      <w:bookmarkStart w:id="672" w:name="_Toc16835"/>
      <w:bookmarkStart w:id="673" w:name="_Toc319440147"/>
      <w:bookmarkStart w:id="674" w:name="_Toc309897520"/>
      <w:bookmarkStart w:id="675" w:name="_Toc27989"/>
      <w:bookmarkStart w:id="676" w:name="_Toc27214"/>
      <w:bookmarkStart w:id="677" w:name="_Toc24949"/>
      <w:bookmarkStart w:id="678" w:name="_Toc23098"/>
      <w:bookmarkStart w:id="679" w:name="_Toc9464"/>
      <w:bookmarkStart w:id="680" w:name="_Toc319439905"/>
      <w:bookmarkStart w:id="681" w:name="_Toc308188157"/>
      <w:bookmarkStart w:id="682" w:name="_Toc17303"/>
      <w:bookmarkStart w:id="683" w:name="_Toc308084602"/>
      <w:bookmarkStart w:id="684" w:name="_Toc307564857"/>
      <w:bookmarkStart w:id="685" w:name="_Toc217446065"/>
      <w:bookmarkStart w:id="686" w:name="_Toc20427"/>
      <w:r>
        <w:rPr>
          <w:rFonts w:hint="eastAsia"/>
          <w:color w:val="auto"/>
          <w:highlight w:val="none"/>
        </w:rPr>
        <w:t>签订合同</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pPr>
        <w:pStyle w:val="65"/>
        <w:spacing w:line="520" w:lineRule="exact"/>
        <w:ind w:firstLine="480"/>
        <w:rPr>
          <w:color w:val="auto"/>
          <w:highlight w:val="none"/>
        </w:rPr>
      </w:pPr>
      <w:bookmarkStart w:id="687" w:name="_Toc31397"/>
      <w:bookmarkStart w:id="688" w:name="_Toc327196292"/>
      <w:bookmarkStart w:id="689" w:name="_Toc307564858"/>
      <w:bookmarkStart w:id="690" w:name="_Toc308188158"/>
      <w:bookmarkStart w:id="691" w:name="_Toc319439906"/>
      <w:bookmarkStart w:id="692" w:name="_Toc20139"/>
      <w:bookmarkStart w:id="693" w:name="_Toc308084603"/>
      <w:bookmarkStart w:id="694" w:name="_Toc31670"/>
      <w:bookmarkStart w:id="695" w:name="_Toc319440148"/>
      <w:bookmarkStart w:id="696" w:name="_Toc309897521"/>
      <w:bookmarkStart w:id="697" w:name="_Toc217446066"/>
      <w:bookmarkStart w:id="698" w:name="_Toc12489"/>
      <w:bookmarkStart w:id="699" w:name="_Toc307501115"/>
      <w:bookmarkStart w:id="700" w:name="_Toc12852"/>
      <w:bookmarkStart w:id="701" w:name="_Toc3758"/>
      <w:bookmarkStart w:id="702" w:name="_Toc24196"/>
      <w:bookmarkStart w:id="703" w:name="_Toc25756"/>
      <w:bookmarkStart w:id="704" w:name="_Toc29795"/>
      <w:bookmarkStart w:id="705" w:name="_Toc26000"/>
      <w:r>
        <w:rPr>
          <w:rFonts w:hint="eastAsia"/>
          <w:color w:val="auto"/>
          <w:highlight w:val="none"/>
        </w:rPr>
        <w:t>中标人应在中标通知书发出后，按照招标文件第六章相关要求与采购人签订采购合同。由于中标人的原因逾期未与采购人签订采购合同的，将视为放弃中标，取消其中标资格并将按相关规定进行处理。</w:t>
      </w:r>
      <w:r>
        <w:rPr>
          <w:rFonts w:hint="eastAsia"/>
          <w:color w:val="auto"/>
          <w:highlight w:val="none"/>
          <w:lang w:eastAsia="zh-Hans"/>
        </w:rPr>
        <w:t>若因采购人的原因未与中标人签订合同</w:t>
      </w:r>
      <w:r>
        <w:rPr>
          <w:color w:val="auto"/>
          <w:highlight w:val="none"/>
          <w:lang w:eastAsia="zh-Hans"/>
        </w:rPr>
        <w:t>，</w:t>
      </w:r>
      <w:r>
        <w:rPr>
          <w:rFonts w:hint="eastAsia"/>
          <w:color w:val="auto"/>
          <w:highlight w:val="none"/>
          <w:lang w:eastAsia="zh-Hans"/>
        </w:rPr>
        <w:t>采购人将向中标人支付中标人因本次采购事宜产生的标书制作等直接费用</w:t>
      </w:r>
      <w:r>
        <w:rPr>
          <w:color w:val="auto"/>
          <w:highlight w:val="none"/>
          <w:lang w:eastAsia="zh-Hans"/>
        </w:rPr>
        <w:t>。</w:t>
      </w:r>
    </w:p>
    <w:p>
      <w:pPr>
        <w:pStyle w:val="65"/>
        <w:spacing w:line="520" w:lineRule="exact"/>
        <w:ind w:firstLine="480"/>
        <w:rPr>
          <w:color w:val="auto"/>
          <w:highlight w:val="none"/>
        </w:rPr>
      </w:pPr>
      <w:r>
        <w:rPr>
          <w:rFonts w:hint="eastAsia"/>
          <w:color w:val="auto"/>
          <w:highlight w:val="none"/>
          <w:lang w:eastAsia="zh-CN"/>
        </w:rPr>
        <w:t>采购合同</w:t>
      </w:r>
      <w:r>
        <w:rPr>
          <w:rFonts w:hint="eastAsia"/>
          <w:color w:val="auto"/>
          <w:highlight w:val="none"/>
        </w:rPr>
        <w:t>应当包括采购人与中标人的名称和住所、标的、数量、质量、价款或者报酬、履行期限及地点和方式、验收要求、违约责任、解决争议的方法等内容。</w:t>
      </w:r>
    </w:p>
    <w:p>
      <w:pPr>
        <w:pStyle w:val="65"/>
        <w:spacing w:line="520" w:lineRule="exact"/>
        <w:ind w:firstLine="480"/>
        <w:rPr>
          <w:color w:val="auto"/>
          <w:highlight w:val="none"/>
        </w:rPr>
      </w:pPr>
      <w:r>
        <w:rPr>
          <w:rFonts w:hint="eastAsia"/>
          <w:color w:val="auto"/>
          <w:highlight w:val="none"/>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65"/>
        <w:spacing w:line="520" w:lineRule="exact"/>
        <w:ind w:firstLine="480"/>
        <w:rPr>
          <w:color w:val="auto"/>
          <w:highlight w:val="none"/>
        </w:rPr>
      </w:pPr>
      <w:r>
        <w:rPr>
          <w:rFonts w:hint="eastAsia" w:cs="宋体"/>
          <w:color w:val="auto"/>
          <w:highlight w:val="none"/>
          <w:shd w:val="clear" w:color="auto" w:fill="FFFFFF"/>
        </w:rPr>
        <w:t>采购人不得要求中标供应商接受不合理的付款方式、期限、条件和违约责任等交易条件，不得约定以审计作为支付供应商款项的条件以及验收合格后分期付款和违规预留质量保证金。</w:t>
      </w:r>
    </w:p>
    <w:p>
      <w:pPr>
        <w:pStyle w:val="65"/>
        <w:spacing w:line="520" w:lineRule="exact"/>
        <w:ind w:firstLine="480"/>
        <w:rPr>
          <w:color w:val="auto"/>
          <w:highlight w:val="none"/>
        </w:rPr>
      </w:pPr>
      <w:r>
        <w:rPr>
          <w:rFonts w:hint="eastAsia"/>
          <w:color w:val="auto"/>
          <w:highlight w:val="none"/>
        </w:rPr>
        <w:t>本项目的招标文件、中标供应商提交的投标文件、评审中的澄清、中标通知书等文件均具有法律约束力，属于合同组成部分。</w:t>
      </w:r>
    </w:p>
    <w:p>
      <w:pPr>
        <w:pStyle w:val="65"/>
        <w:spacing w:line="520" w:lineRule="exact"/>
        <w:ind w:firstLine="480"/>
        <w:rPr>
          <w:color w:val="auto"/>
          <w:highlight w:val="none"/>
        </w:rPr>
      </w:pPr>
      <w:r>
        <w:rPr>
          <w:rFonts w:hint="eastAsia"/>
          <w:color w:val="auto"/>
          <w:highlight w:val="none"/>
        </w:rPr>
        <w:t>中标供应商拒绝与采购人签订合同的，采购人可以按照评审报告推荐的中标候选人名单排序，确定下一候选人为中标供应商，也可以重新开展</w:t>
      </w:r>
      <w:r>
        <w:rPr>
          <w:rFonts w:hint="eastAsia"/>
          <w:color w:val="auto"/>
          <w:highlight w:val="none"/>
          <w:lang w:eastAsia="zh-CN"/>
        </w:rPr>
        <w:t>采购</w:t>
      </w:r>
      <w:r>
        <w:rPr>
          <w:rFonts w:hint="eastAsia"/>
          <w:color w:val="auto"/>
          <w:highlight w:val="none"/>
        </w:rPr>
        <w:t>活动。</w:t>
      </w:r>
    </w:p>
    <w:p>
      <w:pPr>
        <w:pStyle w:val="65"/>
        <w:spacing w:line="520" w:lineRule="exact"/>
        <w:ind w:firstLine="482"/>
        <w:rPr>
          <w:b/>
          <w:bCs/>
          <w:color w:val="auto"/>
          <w:highlight w:val="none"/>
        </w:rPr>
      </w:pPr>
      <w:r>
        <w:rPr>
          <w:rFonts w:hint="eastAsia"/>
          <w:b/>
          <w:bCs/>
          <w:color w:val="auto"/>
          <w:highlight w:val="none"/>
        </w:rPr>
        <w:t>中标人在合同签订之后2个工作日内，将签订的合同(1份)送采购代理机构进行归档留存(也可将签订的采购合同扫描成PDF格式版本发送至</w:t>
      </w:r>
      <w:r>
        <w:rPr>
          <w:color w:val="auto"/>
          <w:highlight w:val="none"/>
        </w:rPr>
        <w:fldChar w:fldCharType="begin"/>
      </w:r>
      <w:r>
        <w:rPr>
          <w:color w:val="auto"/>
          <w:highlight w:val="none"/>
        </w:rPr>
        <w:instrText xml:space="preserve"> HYPERLINK "mailto:scqxzb@163.com" </w:instrText>
      </w:r>
      <w:r>
        <w:rPr>
          <w:color w:val="auto"/>
          <w:highlight w:val="none"/>
        </w:rPr>
        <w:fldChar w:fldCharType="separate"/>
      </w:r>
      <w:r>
        <w:rPr>
          <w:rFonts w:hint="eastAsia"/>
          <w:b/>
          <w:bCs/>
          <w:color w:val="auto"/>
          <w:highlight w:val="none"/>
        </w:rPr>
        <w:t>scqxzb@163.com</w:t>
      </w:r>
      <w:r>
        <w:rPr>
          <w:rFonts w:hint="eastAsia"/>
          <w:b/>
          <w:bCs/>
          <w:color w:val="auto"/>
          <w:highlight w:val="none"/>
        </w:rPr>
        <w:fldChar w:fldCharType="end"/>
      </w:r>
      <w:r>
        <w:rPr>
          <w:rFonts w:hint="eastAsia"/>
          <w:b/>
          <w:bCs/>
          <w:color w:val="auto"/>
          <w:highlight w:val="none"/>
        </w:rPr>
        <w:t>，邮件命名为“采购合同-项目名称-供应商名称”)。</w:t>
      </w:r>
    </w:p>
    <w:p>
      <w:pPr>
        <w:pStyle w:val="51"/>
        <w:numPr>
          <w:ilvl w:val="2"/>
          <w:numId w:val="19"/>
        </w:numPr>
        <w:spacing w:line="520" w:lineRule="exact"/>
        <w:ind w:firstLine="482"/>
        <w:rPr>
          <w:color w:val="auto"/>
          <w:highlight w:val="none"/>
        </w:rPr>
      </w:pPr>
      <w:bookmarkStart w:id="706" w:name="_Toc12864"/>
      <w:bookmarkStart w:id="707" w:name="_Toc4855"/>
      <w:bookmarkStart w:id="708" w:name="_Toc25208"/>
      <w:r>
        <w:rPr>
          <w:rFonts w:hint="eastAsia"/>
          <w:color w:val="auto"/>
          <w:highlight w:val="none"/>
        </w:rPr>
        <w:t>合同</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Pr>
          <w:rFonts w:hint="eastAsia"/>
          <w:color w:val="auto"/>
          <w:highlight w:val="none"/>
        </w:rPr>
        <w:t>分包</w:t>
      </w:r>
      <w:bookmarkEnd w:id="702"/>
      <w:bookmarkEnd w:id="703"/>
      <w:r>
        <w:rPr>
          <w:rFonts w:hint="eastAsia"/>
          <w:color w:val="auto"/>
          <w:highlight w:val="none"/>
        </w:rPr>
        <w:t>(实质性要求)</w:t>
      </w:r>
      <w:bookmarkEnd w:id="704"/>
      <w:bookmarkEnd w:id="705"/>
      <w:bookmarkEnd w:id="706"/>
      <w:bookmarkEnd w:id="707"/>
      <w:bookmarkEnd w:id="708"/>
    </w:p>
    <w:p>
      <w:pPr>
        <w:pStyle w:val="48"/>
        <w:spacing w:line="520" w:lineRule="exact"/>
        <w:rPr>
          <w:color w:val="auto"/>
          <w:highlight w:val="none"/>
        </w:rPr>
      </w:pPr>
      <w:bookmarkStart w:id="709" w:name="_Toc28937"/>
      <w:bookmarkStart w:id="710" w:name="_Toc29526"/>
      <w:bookmarkStart w:id="711" w:name="_Toc5242"/>
      <w:bookmarkStart w:id="712" w:name="_Toc29332"/>
      <w:bookmarkStart w:id="713" w:name="_Toc29552"/>
      <w:bookmarkStart w:id="714" w:name="_Toc319439907"/>
      <w:bookmarkStart w:id="715" w:name="_Toc15644"/>
      <w:bookmarkStart w:id="716" w:name="_Toc19999"/>
      <w:bookmarkStart w:id="717" w:name="_Toc319440149"/>
      <w:bookmarkStart w:id="718" w:name="_Toc308188159"/>
      <w:bookmarkStart w:id="719" w:name="_Toc309897522"/>
      <w:bookmarkStart w:id="720" w:name="_Toc308084604"/>
      <w:bookmarkStart w:id="721" w:name="_Toc327196293"/>
      <w:bookmarkStart w:id="722" w:name="_Toc30954"/>
      <w:bookmarkStart w:id="723" w:name="_Toc30827"/>
      <w:bookmarkStart w:id="724" w:name="_Toc307501116"/>
      <w:bookmarkStart w:id="725" w:name="_Toc29842"/>
      <w:bookmarkStart w:id="726" w:name="_Toc16143"/>
      <w:bookmarkStart w:id="727" w:name="_Toc307564859"/>
      <w:bookmarkStart w:id="728" w:name="_Toc217446067"/>
      <w:r>
        <w:rPr>
          <w:rFonts w:hint="eastAsia"/>
          <w:color w:val="auto"/>
          <w:highlight w:val="none"/>
        </w:rPr>
        <w:t>本项目不允许供应商以合同分包形式进行投标。</w:t>
      </w:r>
    </w:p>
    <w:p>
      <w:pPr>
        <w:pStyle w:val="51"/>
        <w:numPr>
          <w:ilvl w:val="2"/>
          <w:numId w:val="19"/>
        </w:numPr>
        <w:spacing w:line="520" w:lineRule="exact"/>
        <w:ind w:firstLine="482"/>
        <w:rPr>
          <w:color w:val="auto"/>
          <w:highlight w:val="none"/>
        </w:rPr>
      </w:pPr>
      <w:bookmarkStart w:id="729" w:name="_Toc17100"/>
      <w:bookmarkStart w:id="730" w:name="_Toc30895"/>
      <w:r>
        <w:rPr>
          <w:rFonts w:hint="eastAsia"/>
          <w:color w:val="auto"/>
          <w:highlight w:val="none"/>
        </w:rPr>
        <w:t>合同转包(实质性要求)</w:t>
      </w:r>
      <w:bookmarkEnd w:id="709"/>
      <w:bookmarkEnd w:id="710"/>
      <w:bookmarkEnd w:id="711"/>
      <w:bookmarkEnd w:id="729"/>
      <w:bookmarkEnd w:id="730"/>
    </w:p>
    <w:p>
      <w:pPr>
        <w:pStyle w:val="48"/>
        <w:spacing w:line="520" w:lineRule="exact"/>
        <w:rPr>
          <w:color w:val="auto"/>
          <w:highlight w:val="none"/>
        </w:rPr>
      </w:pPr>
      <w:r>
        <w:rPr>
          <w:rFonts w:hint="eastAsia"/>
          <w:color w:val="auto"/>
          <w:highlight w:val="none"/>
        </w:rPr>
        <w:t>本项目禁止中标人将任何</w:t>
      </w:r>
      <w:r>
        <w:rPr>
          <w:rFonts w:hint="eastAsia"/>
          <w:color w:val="auto"/>
          <w:highlight w:val="none"/>
          <w:lang w:eastAsia="zh-CN"/>
        </w:rPr>
        <w:t>采购合同</w:t>
      </w:r>
      <w:r>
        <w:rPr>
          <w:rFonts w:hint="eastAsia"/>
          <w:color w:val="auto"/>
          <w:highlight w:val="none"/>
        </w:rPr>
        <w:t>义务转包。本项目所称转包，是指中标人将</w:t>
      </w:r>
      <w:r>
        <w:rPr>
          <w:rFonts w:hint="eastAsia"/>
          <w:color w:val="auto"/>
          <w:highlight w:val="none"/>
          <w:lang w:eastAsia="zh-CN"/>
        </w:rPr>
        <w:t>采购合同</w:t>
      </w:r>
      <w:r>
        <w:rPr>
          <w:rFonts w:hint="eastAsia"/>
          <w:color w:val="auto"/>
          <w:highlight w:val="none"/>
        </w:rPr>
        <w:t>义务转让给第三人，并退出现有</w:t>
      </w:r>
      <w:r>
        <w:rPr>
          <w:rFonts w:hint="eastAsia"/>
          <w:color w:val="auto"/>
          <w:highlight w:val="none"/>
          <w:lang w:eastAsia="zh-CN"/>
        </w:rPr>
        <w:t>采购合同</w:t>
      </w:r>
      <w:r>
        <w:rPr>
          <w:rFonts w:hint="eastAsia"/>
          <w:color w:val="auto"/>
          <w:highlight w:val="none"/>
        </w:rPr>
        <w:t>当事人双方的权利义务关系，受让人(即第三人)成为</w:t>
      </w:r>
      <w:r>
        <w:rPr>
          <w:rFonts w:hint="eastAsia"/>
          <w:color w:val="auto"/>
          <w:highlight w:val="none"/>
          <w:lang w:eastAsia="zh-CN"/>
        </w:rPr>
        <w:t>采购合同</w:t>
      </w:r>
      <w:r>
        <w:rPr>
          <w:rFonts w:hint="eastAsia"/>
          <w:color w:val="auto"/>
          <w:highlight w:val="none"/>
        </w:rPr>
        <w:t>的另一方当事人的行为。</w:t>
      </w:r>
    </w:p>
    <w:p>
      <w:pPr>
        <w:pStyle w:val="48"/>
        <w:spacing w:line="520" w:lineRule="exact"/>
        <w:rPr>
          <w:color w:val="auto"/>
          <w:highlight w:val="none"/>
        </w:rPr>
      </w:pPr>
      <w:r>
        <w:rPr>
          <w:rFonts w:hint="eastAsia"/>
          <w:color w:val="auto"/>
          <w:highlight w:val="none"/>
        </w:rPr>
        <w:t>中标人转包的，视同拒绝履行</w:t>
      </w:r>
      <w:r>
        <w:rPr>
          <w:rFonts w:hint="eastAsia"/>
          <w:color w:val="auto"/>
          <w:highlight w:val="none"/>
          <w:lang w:eastAsia="zh-CN"/>
        </w:rPr>
        <w:t>采购合同</w:t>
      </w:r>
      <w:r>
        <w:rPr>
          <w:rFonts w:hint="eastAsia"/>
          <w:color w:val="auto"/>
          <w:highlight w:val="none"/>
        </w:rPr>
        <w:t>义务，将依法追究法律责任。</w:t>
      </w:r>
    </w:p>
    <w:p>
      <w:pPr>
        <w:pStyle w:val="51"/>
        <w:numPr>
          <w:ilvl w:val="2"/>
          <w:numId w:val="19"/>
        </w:numPr>
        <w:spacing w:line="520" w:lineRule="exact"/>
        <w:ind w:firstLine="482"/>
        <w:rPr>
          <w:color w:val="auto"/>
          <w:highlight w:val="none"/>
        </w:rPr>
      </w:pPr>
      <w:bookmarkStart w:id="731" w:name="_Toc11992"/>
      <w:bookmarkStart w:id="732" w:name="_Toc10561"/>
      <w:bookmarkStart w:id="733" w:name="_Toc2455"/>
      <w:bookmarkStart w:id="734" w:name="_Toc12603"/>
      <w:bookmarkStart w:id="735" w:name="_Toc9592"/>
      <w:r>
        <w:rPr>
          <w:rFonts w:hint="eastAsia"/>
          <w:color w:val="auto"/>
          <w:highlight w:val="none"/>
        </w:rPr>
        <w:t>补充合同</w:t>
      </w:r>
      <w:bookmarkEnd w:id="731"/>
      <w:bookmarkEnd w:id="732"/>
      <w:bookmarkEnd w:id="733"/>
      <w:bookmarkEnd w:id="734"/>
      <w:bookmarkEnd w:id="735"/>
    </w:p>
    <w:p>
      <w:pPr>
        <w:pStyle w:val="48"/>
        <w:spacing w:line="520" w:lineRule="exact"/>
        <w:rPr>
          <w:color w:val="auto"/>
          <w:highlight w:val="none"/>
        </w:rPr>
      </w:pPr>
      <w:r>
        <w:rPr>
          <w:rFonts w:hint="eastAsia"/>
          <w:color w:val="auto"/>
          <w:highlight w:val="none"/>
        </w:rPr>
        <w:t>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w:t>
      </w:r>
      <w:r>
        <w:rPr>
          <w:rFonts w:hint="eastAsia"/>
          <w:color w:val="auto"/>
          <w:highlight w:val="none"/>
          <w:lang w:eastAsia="zh-CN"/>
        </w:rPr>
        <w:t>采购合同</w:t>
      </w:r>
      <w:r>
        <w:rPr>
          <w:rFonts w:hint="eastAsia"/>
          <w:color w:val="auto"/>
          <w:highlight w:val="none"/>
        </w:rPr>
        <w:t>履行过程中，不得在原</w:t>
      </w:r>
      <w:r>
        <w:rPr>
          <w:rFonts w:hint="eastAsia"/>
          <w:color w:val="auto"/>
          <w:highlight w:val="none"/>
          <w:lang w:eastAsia="zh-CN"/>
        </w:rPr>
        <w:t>采购合同</w:t>
      </w:r>
      <w:r>
        <w:rPr>
          <w:rFonts w:hint="eastAsia"/>
          <w:color w:val="auto"/>
          <w:highlight w:val="none"/>
        </w:rPr>
        <w:t>履行结束后，且采购货物、服务的名称、价格、履约方式、验收标准等必须与原</w:t>
      </w:r>
      <w:r>
        <w:rPr>
          <w:rFonts w:hint="eastAsia"/>
          <w:color w:val="auto"/>
          <w:highlight w:val="none"/>
          <w:lang w:eastAsia="zh-CN"/>
        </w:rPr>
        <w:t>采购合同</w:t>
      </w:r>
      <w:r>
        <w:rPr>
          <w:rFonts w:hint="eastAsia"/>
          <w:color w:val="auto"/>
          <w:highlight w:val="none"/>
        </w:rPr>
        <w:t>一致。</w:t>
      </w:r>
    </w:p>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Pr>
        <w:pStyle w:val="51"/>
        <w:numPr>
          <w:ilvl w:val="2"/>
          <w:numId w:val="19"/>
        </w:numPr>
        <w:spacing w:line="520" w:lineRule="exact"/>
        <w:ind w:firstLine="482"/>
        <w:rPr>
          <w:color w:val="auto"/>
          <w:highlight w:val="none"/>
        </w:rPr>
      </w:pPr>
      <w:bookmarkStart w:id="736" w:name="_Toc308164812"/>
      <w:bookmarkStart w:id="737" w:name="_Toc31704"/>
      <w:bookmarkStart w:id="738" w:name="_Toc24237"/>
      <w:bookmarkStart w:id="739" w:name="_Toc5419"/>
      <w:bookmarkStart w:id="740" w:name="_Toc24147"/>
      <w:bookmarkStart w:id="741" w:name="_Toc25038"/>
      <w:bookmarkStart w:id="742" w:name="_Toc27686"/>
      <w:bookmarkStart w:id="743" w:name="_Toc319440150"/>
      <w:bookmarkStart w:id="744" w:name="_Toc309897523"/>
      <w:bookmarkStart w:id="745" w:name="_Toc217446068"/>
      <w:bookmarkStart w:id="746" w:name="_Toc27331"/>
      <w:bookmarkStart w:id="747" w:name="_Toc307501117"/>
      <w:bookmarkStart w:id="748" w:name="_Toc327196294"/>
      <w:bookmarkStart w:id="749" w:name="_Toc11533"/>
      <w:bookmarkStart w:id="750" w:name="_Toc16034"/>
      <w:bookmarkStart w:id="751" w:name="_Toc30856"/>
      <w:bookmarkStart w:id="752" w:name="_Toc28404"/>
      <w:bookmarkStart w:id="753" w:name="_Toc22746"/>
      <w:bookmarkStart w:id="754" w:name="_Toc307564860"/>
      <w:bookmarkStart w:id="755" w:name="_Toc19537"/>
      <w:bookmarkStart w:id="756" w:name="_Toc308084605"/>
      <w:bookmarkStart w:id="757" w:name="_Toc308188160"/>
      <w:bookmarkStart w:id="758" w:name="_Toc319439908"/>
      <w:r>
        <w:rPr>
          <w:rFonts w:hint="eastAsia"/>
          <w:color w:val="auto"/>
          <w:highlight w:val="none"/>
        </w:rPr>
        <w:t>履约保证金</w:t>
      </w:r>
      <w:bookmarkEnd w:id="736"/>
      <w:r>
        <w:rPr>
          <w:rFonts w:hint="eastAsia"/>
          <w:color w:val="auto"/>
          <w:highlight w:val="none"/>
        </w:rPr>
        <w:t>(实质性要求)</w:t>
      </w:r>
      <w:bookmarkEnd w:id="737"/>
      <w:bookmarkEnd w:id="738"/>
      <w:bookmarkEnd w:id="739"/>
      <w:bookmarkEnd w:id="740"/>
      <w:bookmarkEnd w:id="741"/>
    </w:p>
    <w:p>
      <w:pPr>
        <w:pStyle w:val="65"/>
        <w:spacing w:line="520" w:lineRule="exact"/>
        <w:ind w:firstLine="480"/>
        <w:rPr>
          <w:color w:val="auto"/>
          <w:highlight w:val="none"/>
        </w:rPr>
      </w:pPr>
      <w:r>
        <w:rPr>
          <w:rFonts w:hint="eastAsia"/>
          <w:color w:val="auto"/>
          <w:highlight w:val="none"/>
        </w:rPr>
        <w:t>中标人应在合同签订之前交纳招标文件规定数额的履约保证金。</w:t>
      </w:r>
    </w:p>
    <w:p>
      <w:pPr>
        <w:pStyle w:val="65"/>
        <w:spacing w:line="520" w:lineRule="exact"/>
        <w:ind w:firstLine="480"/>
        <w:rPr>
          <w:color w:val="auto"/>
          <w:highlight w:val="none"/>
        </w:rPr>
      </w:pPr>
      <w:r>
        <w:rPr>
          <w:rFonts w:hint="eastAsia"/>
          <w:color w:val="auto"/>
          <w:highlight w:val="none"/>
        </w:rPr>
        <w:t>如果中标人在规定的合同签订时间内，未按照招标文件的规定交纳履约保证金，且又无正当理由的，将视为放弃中标。</w:t>
      </w:r>
    </w:p>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Pr>
        <w:pStyle w:val="51"/>
        <w:numPr>
          <w:ilvl w:val="2"/>
          <w:numId w:val="19"/>
        </w:numPr>
        <w:spacing w:line="520" w:lineRule="exact"/>
        <w:ind w:firstLine="482"/>
        <w:rPr>
          <w:color w:val="auto"/>
          <w:highlight w:val="none"/>
        </w:rPr>
      </w:pPr>
      <w:bookmarkStart w:id="759" w:name="_Toc15310"/>
      <w:bookmarkStart w:id="760" w:name="_Toc26515"/>
      <w:bookmarkStart w:id="761" w:name="_Toc22407"/>
      <w:bookmarkStart w:id="762" w:name="_Toc13194"/>
      <w:bookmarkStart w:id="763" w:name="_Toc29503"/>
      <w:bookmarkStart w:id="764" w:name="_Toc15219"/>
      <w:bookmarkStart w:id="765" w:name="_Toc9916"/>
      <w:bookmarkStart w:id="766" w:name="_Toc9815"/>
      <w:bookmarkStart w:id="767" w:name="_Toc217446070"/>
      <w:bookmarkStart w:id="768" w:name="_Toc18547"/>
      <w:bookmarkStart w:id="769" w:name="_Toc5754"/>
      <w:bookmarkStart w:id="770" w:name="_Toc17018"/>
      <w:bookmarkStart w:id="771" w:name="_Toc319440152"/>
      <w:bookmarkStart w:id="772" w:name="_Toc27114"/>
      <w:bookmarkStart w:id="773" w:name="_Toc327196296"/>
      <w:bookmarkStart w:id="774" w:name="_Toc27872"/>
      <w:bookmarkStart w:id="775" w:name="_Toc319439910"/>
      <w:bookmarkStart w:id="776" w:name="_Toc309897525"/>
      <w:bookmarkStart w:id="777" w:name="_Toc308188162"/>
      <w:bookmarkStart w:id="778" w:name="_Toc308084607"/>
      <w:bookmarkStart w:id="779" w:name="_Toc307501119"/>
      <w:bookmarkStart w:id="780" w:name="_Toc307564862"/>
      <w:r>
        <w:rPr>
          <w:rFonts w:hint="eastAsia"/>
          <w:color w:val="auto"/>
          <w:highlight w:val="none"/>
        </w:rPr>
        <w:t>履行合同</w:t>
      </w:r>
      <w:bookmarkEnd w:id="759"/>
      <w:bookmarkEnd w:id="760"/>
      <w:bookmarkEnd w:id="761"/>
      <w:bookmarkEnd w:id="762"/>
      <w:bookmarkEnd w:id="763"/>
    </w:p>
    <w:p>
      <w:pPr>
        <w:pStyle w:val="65"/>
        <w:spacing w:line="520" w:lineRule="exact"/>
        <w:ind w:firstLine="480"/>
        <w:rPr>
          <w:color w:val="auto"/>
          <w:highlight w:val="none"/>
        </w:rPr>
      </w:pPr>
      <w:bookmarkStart w:id="781" w:name="_Toc12435"/>
      <w:bookmarkStart w:id="782" w:name="_Toc31"/>
      <w:r>
        <w:rPr>
          <w:rFonts w:hint="eastAsia"/>
          <w:color w:val="auto"/>
          <w:highlight w:val="none"/>
        </w:rPr>
        <w:t>采购人与中标人应当根据合同的约定依法履行合同义务。</w:t>
      </w:r>
    </w:p>
    <w:p>
      <w:pPr>
        <w:pStyle w:val="65"/>
        <w:spacing w:line="520" w:lineRule="exact"/>
        <w:ind w:firstLine="480"/>
        <w:rPr>
          <w:color w:val="auto"/>
          <w:highlight w:val="none"/>
        </w:rPr>
      </w:pPr>
      <w:r>
        <w:rPr>
          <w:rFonts w:hint="eastAsia"/>
          <w:color w:val="auto"/>
          <w:highlight w:val="none"/>
          <w:lang w:eastAsia="zh-CN"/>
        </w:rPr>
        <w:t>采购合同</w:t>
      </w:r>
      <w:r>
        <w:rPr>
          <w:rFonts w:hint="eastAsia"/>
          <w:color w:val="auto"/>
          <w:highlight w:val="none"/>
        </w:rPr>
        <w:t>的履行、违约责任和解决争议的方法等适用《中华人民共和国民法典》。</w:t>
      </w:r>
    </w:p>
    <w:p>
      <w:pPr>
        <w:pStyle w:val="51"/>
        <w:numPr>
          <w:ilvl w:val="2"/>
          <w:numId w:val="19"/>
        </w:numPr>
        <w:spacing w:line="520" w:lineRule="exact"/>
        <w:ind w:firstLine="482"/>
        <w:rPr>
          <w:color w:val="auto"/>
          <w:highlight w:val="none"/>
        </w:rPr>
      </w:pPr>
      <w:bookmarkStart w:id="783" w:name="_Toc11893"/>
      <w:bookmarkStart w:id="784" w:name="_Toc22276"/>
      <w:bookmarkStart w:id="785" w:name="_Toc24734"/>
      <w:r>
        <w:rPr>
          <w:rFonts w:hint="eastAsia"/>
          <w:color w:val="auto"/>
          <w:highlight w:val="none"/>
        </w:rPr>
        <w:t>验收</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pPr>
        <w:pStyle w:val="65"/>
        <w:numPr>
          <w:ilvl w:val="3"/>
          <w:numId w:val="0"/>
        </w:numPr>
        <w:spacing w:line="520" w:lineRule="exact"/>
        <w:ind w:left="480" w:leftChars="200"/>
        <w:rPr>
          <w:color w:val="auto"/>
          <w:highlight w:val="none"/>
        </w:rPr>
      </w:pPr>
      <w:bookmarkStart w:id="786" w:name="_Toc217446071"/>
      <w:r>
        <w:rPr>
          <w:rFonts w:hint="eastAsia"/>
          <w:color w:val="auto"/>
          <w:highlight w:val="none"/>
        </w:rPr>
        <w:t>详见招标文件第六章。</w:t>
      </w:r>
    </w:p>
    <w:bookmarkEnd w:id="663"/>
    <w:bookmarkEnd w:id="664"/>
    <w:bookmarkEnd w:id="786"/>
    <w:p>
      <w:pPr>
        <w:pStyle w:val="51"/>
        <w:numPr>
          <w:ilvl w:val="2"/>
          <w:numId w:val="19"/>
        </w:numPr>
        <w:spacing w:line="520" w:lineRule="exact"/>
        <w:ind w:firstLine="482"/>
        <w:rPr>
          <w:color w:val="auto"/>
          <w:highlight w:val="none"/>
        </w:rPr>
      </w:pPr>
      <w:bookmarkStart w:id="787" w:name="_Toc308164818"/>
      <w:bookmarkStart w:id="788" w:name="_Toc17896"/>
      <w:bookmarkStart w:id="789" w:name="_Toc2566"/>
      <w:bookmarkStart w:id="790" w:name="_Toc16716"/>
      <w:bookmarkStart w:id="791" w:name="_Toc3266"/>
      <w:bookmarkStart w:id="792" w:name="_Toc1770"/>
      <w:bookmarkStart w:id="793" w:name="_Toc327196297"/>
      <w:bookmarkStart w:id="794" w:name="_Toc16219"/>
      <w:bookmarkStart w:id="795" w:name="_Toc217446074"/>
      <w:bookmarkStart w:id="796" w:name="_Toc183582243"/>
      <w:bookmarkStart w:id="797" w:name="_Toc183682380"/>
      <w:r>
        <w:rPr>
          <w:rFonts w:hint="eastAsia"/>
          <w:color w:val="auto"/>
          <w:highlight w:val="none"/>
        </w:rPr>
        <w:t>资金支付</w:t>
      </w:r>
      <w:bookmarkEnd w:id="787"/>
      <w:r>
        <w:rPr>
          <w:rFonts w:hint="eastAsia"/>
          <w:color w:val="auto"/>
          <w:highlight w:val="none"/>
        </w:rPr>
        <w:t>方式、时间、条件</w:t>
      </w:r>
      <w:bookmarkEnd w:id="788"/>
      <w:bookmarkEnd w:id="789"/>
      <w:bookmarkEnd w:id="790"/>
      <w:bookmarkEnd w:id="791"/>
      <w:bookmarkEnd w:id="792"/>
    </w:p>
    <w:p>
      <w:pPr>
        <w:pStyle w:val="65"/>
        <w:numPr>
          <w:ilvl w:val="3"/>
          <w:numId w:val="0"/>
        </w:numPr>
        <w:spacing w:line="520" w:lineRule="exact"/>
        <w:ind w:left="480" w:leftChars="200"/>
        <w:rPr>
          <w:color w:val="auto"/>
          <w:highlight w:val="none"/>
        </w:rPr>
      </w:pPr>
      <w:r>
        <w:rPr>
          <w:rFonts w:hint="eastAsia"/>
          <w:color w:val="auto"/>
          <w:highlight w:val="none"/>
        </w:rPr>
        <w:t>详见招标文件第六章。</w:t>
      </w:r>
    </w:p>
    <w:p>
      <w:pPr>
        <w:pStyle w:val="45"/>
        <w:spacing w:before="120" w:after="120" w:line="520" w:lineRule="exact"/>
        <w:rPr>
          <w:color w:val="auto"/>
          <w:highlight w:val="none"/>
        </w:rPr>
      </w:pPr>
      <w:bookmarkStart w:id="798" w:name="_Toc15972"/>
      <w:bookmarkStart w:id="799" w:name="_Toc27770"/>
      <w:bookmarkStart w:id="800" w:name="_Toc3955"/>
      <w:bookmarkStart w:id="801" w:name="_Toc17693"/>
      <w:bookmarkStart w:id="802" w:name="_Toc5420"/>
      <w:r>
        <w:rPr>
          <w:rFonts w:hint="eastAsia"/>
          <w:color w:val="auto"/>
          <w:highlight w:val="none"/>
        </w:rPr>
        <w:t>投标纪律要求</w:t>
      </w:r>
      <w:bookmarkEnd w:id="793"/>
      <w:bookmarkEnd w:id="794"/>
      <w:bookmarkEnd w:id="795"/>
      <w:bookmarkEnd w:id="798"/>
      <w:bookmarkEnd w:id="799"/>
      <w:bookmarkEnd w:id="800"/>
      <w:bookmarkEnd w:id="801"/>
      <w:bookmarkEnd w:id="802"/>
    </w:p>
    <w:p>
      <w:pPr>
        <w:pStyle w:val="48"/>
        <w:spacing w:line="520" w:lineRule="exact"/>
        <w:rPr>
          <w:color w:val="auto"/>
          <w:highlight w:val="none"/>
        </w:rPr>
      </w:pPr>
      <w:bookmarkStart w:id="803" w:name="_Toc30964"/>
      <w:bookmarkStart w:id="804" w:name="_Toc217446075"/>
      <w:bookmarkStart w:id="805" w:name="_Toc307501121"/>
      <w:bookmarkStart w:id="806" w:name="_Toc308084609"/>
      <w:bookmarkStart w:id="807" w:name="_Toc1828"/>
      <w:bookmarkStart w:id="808" w:name="_Toc17887"/>
      <w:bookmarkStart w:id="809" w:name="_Toc307564864"/>
      <w:bookmarkStart w:id="810" w:name="_Toc31498"/>
      <w:bookmarkStart w:id="811" w:name="_Toc309897527"/>
      <w:bookmarkStart w:id="812" w:name="_Toc319440154"/>
      <w:bookmarkStart w:id="813" w:name="_Toc319439912"/>
      <w:bookmarkStart w:id="814" w:name="_Toc6284"/>
      <w:bookmarkStart w:id="815" w:name="_Toc20490"/>
      <w:bookmarkStart w:id="816" w:name="_Toc21018"/>
      <w:bookmarkStart w:id="817" w:name="_Toc5014"/>
      <w:bookmarkStart w:id="818" w:name="_Toc27399"/>
      <w:bookmarkStart w:id="819" w:name="_Toc11074"/>
      <w:bookmarkStart w:id="820" w:name="_Toc10754"/>
      <w:bookmarkStart w:id="821" w:name="_Toc308188164"/>
      <w:bookmarkStart w:id="822" w:name="_Toc327196298"/>
      <w:r>
        <w:rPr>
          <w:rFonts w:hint="eastAsia"/>
          <w:color w:val="auto"/>
          <w:highlight w:val="none"/>
        </w:rPr>
        <w:t>投标人不得具有的情形</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r>
        <w:rPr>
          <w:rFonts w:hint="eastAsia"/>
          <w:color w:val="auto"/>
          <w:highlight w:val="none"/>
        </w:rPr>
        <w:t>：</w:t>
      </w:r>
    </w:p>
    <w:p>
      <w:pPr>
        <w:pStyle w:val="34"/>
        <w:numPr>
          <w:ilvl w:val="1"/>
          <w:numId w:val="20"/>
        </w:numPr>
        <w:spacing w:line="520" w:lineRule="exact"/>
        <w:ind w:firstLine="480"/>
        <w:rPr>
          <w:color w:val="auto"/>
          <w:highlight w:val="none"/>
        </w:rPr>
      </w:pPr>
      <w:r>
        <w:rPr>
          <w:rFonts w:hint="eastAsia"/>
          <w:color w:val="auto"/>
          <w:highlight w:val="none"/>
        </w:rPr>
        <w:t>提供虚假材料谋取中标；</w:t>
      </w:r>
    </w:p>
    <w:p>
      <w:pPr>
        <w:pStyle w:val="34"/>
        <w:numPr>
          <w:ilvl w:val="1"/>
          <w:numId w:val="20"/>
        </w:numPr>
        <w:spacing w:line="520" w:lineRule="exact"/>
        <w:ind w:firstLine="480"/>
        <w:rPr>
          <w:color w:val="auto"/>
          <w:highlight w:val="none"/>
        </w:rPr>
      </w:pPr>
      <w:r>
        <w:rPr>
          <w:rFonts w:hint="eastAsia"/>
          <w:color w:val="auto"/>
          <w:highlight w:val="none"/>
        </w:rPr>
        <w:t>采取不正当手段诋毁、排挤其他投标人；</w:t>
      </w:r>
    </w:p>
    <w:p>
      <w:pPr>
        <w:pStyle w:val="34"/>
        <w:numPr>
          <w:ilvl w:val="1"/>
          <w:numId w:val="20"/>
        </w:numPr>
        <w:spacing w:line="520" w:lineRule="exact"/>
        <w:ind w:firstLine="480"/>
        <w:rPr>
          <w:color w:val="auto"/>
          <w:highlight w:val="none"/>
        </w:rPr>
      </w:pPr>
      <w:r>
        <w:rPr>
          <w:rFonts w:hint="eastAsia"/>
          <w:color w:val="auto"/>
          <w:highlight w:val="none"/>
        </w:rPr>
        <w:t>与招标采购单位、其他投标人恶意串通；</w:t>
      </w:r>
    </w:p>
    <w:p>
      <w:pPr>
        <w:pStyle w:val="34"/>
        <w:numPr>
          <w:ilvl w:val="1"/>
          <w:numId w:val="20"/>
        </w:numPr>
        <w:spacing w:line="520" w:lineRule="exact"/>
        <w:ind w:firstLine="480"/>
        <w:rPr>
          <w:color w:val="auto"/>
          <w:highlight w:val="none"/>
        </w:rPr>
      </w:pPr>
      <w:r>
        <w:rPr>
          <w:rFonts w:hint="eastAsia"/>
          <w:color w:val="auto"/>
          <w:highlight w:val="none"/>
        </w:rPr>
        <w:t>向招标采购单位、评标委员会成员行贿或者提供其他不正当利益；</w:t>
      </w:r>
    </w:p>
    <w:p>
      <w:pPr>
        <w:pStyle w:val="34"/>
        <w:numPr>
          <w:ilvl w:val="1"/>
          <w:numId w:val="20"/>
        </w:numPr>
        <w:spacing w:line="520" w:lineRule="exact"/>
        <w:ind w:firstLine="480"/>
        <w:rPr>
          <w:color w:val="auto"/>
          <w:highlight w:val="none"/>
        </w:rPr>
      </w:pPr>
      <w:r>
        <w:rPr>
          <w:rFonts w:hint="eastAsia"/>
          <w:color w:val="auto"/>
          <w:highlight w:val="none"/>
        </w:rPr>
        <w:t>在招标过程中与招标采购单位进行协商谈判；</w:t>
      </w:r>
    </w:p>
    <w:p>
      <w:pPr>
        <w:pStyle w:val="34"/>
        <w:numPr>
          <w:ilvl w:val="1"/>
          <w:numId w:val="20"/>
        </w:numPr>
        <w:spacing w:line="520" w:lineRule="exact"/>
        <w:ind w:firstLine="480"/>
        <w:rPr>
          <w:color w:val="auto"/>
          <w:highlight w:val="none"/>
        </w:rPr>
      </w:pPr>
      <w:r>
        <w:rPr>
          <w:rFonts w:hint="eastAsia"/>
          <w:color w:val="auto"/>
          <w:highlight w:val="none"/>
        </w:rPr>
        <w:t>中标或者成交后无正当理由拒不与采购人签订</w:t>
      </w:r>
      <w:r>
        <w:rPr>
          <w:rFonts w:hint="eastAsia"/>
          <w:color w:val="auto"/>
          <w:highlight w:val="none"/>
          <w:lang w:eastAsia="zh-CN"/>
        </w:rPr>
        <w:t>采购合同</w:t>
      </w:r>
      <w:r>
        <w:rPr>
          <w:rFonts w:hint="eastAsia"/>
          <w:color w:val="auto"/>
          <w:highlight w:val="none"/>
        </w:rPr>
        <w:t>；</w:t>
      </w:r>
    </w:p>
    <w:p>
      <w:pPr>
        <w:pStyle w:val="34"/>
        <w:numPr>
          <w:ilvl w:val="1"/>
          <w:numId w:val="20"/>
        </w:numPr>
        <w:spacing w:line="520" w:lineRule="exact"/>
        <w:ind w:firstLine="480"/>
        <w:rPr>
          <w:color w:val="auto"/>
          <w:highlight w:val="none"/>
        </w:rPr>
      </w:pPr>
      <w:r>
        <w:rPr>
          <w:rFonts w:hint="eastAsia"/>
          <w:color w:val="auto"/>
          <w:highlight w:val="none"/>
        </w:rPr>
        <w:t>未按照采购文件确定的事项签订</w:t>
      </w:r>
      <w:r>
        <w:rPr>
          <w:rFonts w:hint="eastAsia"/>
          <w:color w:val="auto"/>
          <w:highlight w:val="none"/>
          <w:lang w:eastAsia="zh-CN"/>
        </w:rPr>
        <w:t>采购合同</w:t>
      </w:r>
      <w:r>
        <w:rPr>
          <w:rFonts w:hint="eastAsia"/>
          <w:color w:val="auto"/>
          <w:highlight w:val="none"/>
        </w:rPr>
        <w:t>；</w:t>
      </w:r>
    </w:p>
    <w:p>
      <w:pPr>
        <w:pStyle w:val="34"/>
        <w:numPr>
          <w:ilvl w:val="1"/>
          <w:numId w:val="20"/>
        </w:numPr>
        <w:spacing w:line="520" w:lineRule="exact"/>
        <w:ind w:firstLine="480"/>
        <w:rPr>
          <w:color w:val="auto"/>
          <w:highlight w:val="none"/>
        </w:rPr>
      </w:pPr>
      <w:r>
        <w:rPr>
          <w:rFonts w:hint="eastAsia"/>
          <w:color w:val="auto"/>
          <w:highlight w:val="none"/>
        </w:rPr>
        <w:t>将</w:t>
      </w:r>
      <w:r>
        <w:rPr>
          <w:rFonts w:hint="eastAsia"/>
          <w:color w:val="auto"/>
          <w:highlight w:val="none"/>
          <w:lang w:eastAsia="zh-CN"/>
        </w:rPr>
        <w:t>采购合同</w:t>
      </w:r>
      <w:r>
        <w:rPr>
          <w:rFonts w:hint="eastAsia"/>
          <w:color w:val="auto"/>
          <w:highlight w:val="none"/>
        </w:rPr>
        <w:t>转包或者违规分包；</w:t>
      </w:r>
    </w:p>
    <w:p>
      <w:pPr>
        <w:pStyle w:val="34"/>
        <w:numPr>
          <w:ilvl w:val="1"/>
          <w:numId w:val="20"/>
        </w:numPr>
        <w:spacing w:line="520" w:lineRule="exact"/>
        <w:ind w:firstLine="480"/>
        <w:rPr>
          <w:color w:val="auto"/>
          <w:highlight w:val="none"/>
        </w:rPr>
      </w:pPr>
      <w:r>
        <w:rPr>
          <w:rFonts w:hint="eastAsia"/>
          <w:color w:val="auto"/>
          <w:highlight w:val="none"/>
        </w:rPr>
        <w:t>提供假冒伪劣产品；</w:t>
      </w:r>
    </w:p>
    <w:p>
      <w:pPr>
        <w:pStyle w:val="34"/>
        <w:numPr>
          <w:ilvl w:val="1"/>
          <w:numId w:val="20"/>
        </w:numPr>
        <w:spacing w:line="520" w:lineRule="exact"/>
        <w:ind w:firstLine="480"/>
        <w:rPr>
          <w:color w:val="auto"/>
          <w:highlight w:val="none"/>
        </w:rPr>
      </w:pPr>
      <w:r>
        <w:rPr>
          <w:rFonts w:hint="eastAsia"/>
          <w:color w:val="auto"/>
          <w:highlight w:val="none"/>
        </w:rPr>
        <w:t>擅自变更、中止或者终止</w:t>
      </w:r>
      <w:r>
        <w:rPr>
          <w:rFonts w:hint="eastAsia"/>
          <w:color w:val="auto"/>
          <w:highlight w:val="none"/>
          <w:lang w:eastAsia="zh-CN"/>
        </w:rPr>
        <w:t>采购合同</w:t>
      </w:r>
      <w:r>
        <w:rPr>
          <w:rFonts w:hint="eastAsia"/>
          <w:color w:val="auto"/>
          <w:highlight w:val="none"/>
        </w:rPr>
        <w:t>；</w:t>
      </w:r>
    </w:p>
    <w:p>
      <w:pPr>
        <w:pStyle w:val="34"/>
        <w:numPr>
          <w:ilvl w:val="1"/>
          <w:numId w:val="20"/>
        </w:numPr>
        <w:spacing w:line="520" w:lineRule="exact"/>
        <w:ind w:firstLine="480"/>
        <w:rPr>
          <w:color w:val="auto"/>
          <w:highlight w:val="none"/>
        </w:rPr>
      </w:pPr>
      <w:r>
        <w:rPr>
          <w:rFonts w:hint="eastAsia"/>
          <w:color w:val="auto"/>
          <w:highlight w:val="none"/>
        </w:rPr>
        <w:t>拒绝有关部门的监督检查或者向监督检查部门提供虚假情况；</w:t>
      </w:r>
    </w:p>
    <w:p>
      <w:pPr>
        <w:pStyle w:val="34"/>
        <w:numPr>
          <w:ilvl w:val="1"/>
          <w:numId w:val="20"/>
        </w:numPr>
        <w:spacing w:line="520" w:lineRule="exact"/>
        <w:ind w:firstLine="480"/>
        <w:rPr>
          <w:color w:val="auto"/>
          <w:highlight w:val="none"/>
        </w:rPr>
      </w:pPr>
      <w:r>
        <w:rPr>
          <w:rFonts w:hint="eastAsia"/>
          <w:color w:val="auto"/>
          <w:highlight w:val="none"/>
        </w:rPr>
        <w:t>法律法规规定的其他情形。</w:t>
      </w:r>
    </w:p>
    <w:p>
      <w:pPr>
        <w:pStyle w:val="44"/>
        <w:spacing w:line="520" w:lineRule="exact"/>
        <w:ind w:firstLine="480" w:firstLineChars="200"/>
        <w:rPr>
          <w:color w:val="auto"/>
          <w:highlight w:val="none"/>
        </w:rPr>
      </w:pPr>
      <w:bookmarkStart w:id="823" w:name="_Toc20327"/>
      <w:bookmarkStart w:id="824" w:name="_Toc217446078"/>
      <w:bookmarkStart w:id="825" w:name="_Toc8765"/>
      <w:bookmarkStart w:id="826" w:name="_Toc525"/>
      <w:r>
        <w:rPr>
          <w:rFonts w:hint="eastAsia"/>
          <w:color w:val="auto"/>
          <w:highlight w:val="none"/>
        </w:rPr>
        <w:t>投标人有上述情形的，按照规定追究法律责任，具备(一)～(十)条情形之一的，同时将取消中标资格或者认定中标无效。</w:t>
      </w:r>
    </w:p>
    <w:bookmarkEnd w:id="796"/>
    <w:bookmarkEnd w:id="797"/>
    <w:bookmarkEnd w:id="823"/>
    <w:bookmarkEnd w:id="824"/>
    <w:bookmarkEnd w:id="825"/>
    <w:bookmarkEnd w:id="826"/>
    <w:p>
      <w:pPr>
        <w:pStyle w:val="45"/>
        <w:spacing w:before="120" w:after="120" w:line="520" w:lineRule="exact"/>
        <w:rPr>
          <w:color w:val="auto"/>
          <w:highlight w:val="none"/>
        </w:rPr>
      </w:pPr>
      <w:bookmarkStart w:id="827" w:name="_Toc1721"/>
      <w:bookmarkStart w:id="828" w:name="_Toc1009"/>
      <w:bookmarkStart w:id="829" w:name="_Toc9092"/>
      <w:bookmarkStart w:id="830" w:name="_Toc1652"/>
      <w:bookmarkStart w:id="831" w:name="_Toc24434"/>
      <w:bookmarkStart w:id="832" w:name="_Toc12421"/>
      <w:bookmarkStart w:id="833" w:name="_Toc414"/>
      <w:bookmarkStart w:id="834" w:name="_Toc24165"/>
      <w:bookmarkStart w:id="835" w:name="_Toc21424"/>
      <w:bookmarkStart w:id="836" w:name="_Toc327196301"/>
      <w:bookmarkStart w:id="837" w:name="_Toc5589"/>
      <w:r>
        <w:rPr>
          <w:rFonts w:hint="eastAsia"/>
          <w:color w:val="auto"/>
          <w:highlight w:val="none"/>
        </w:rPr>
        <w:t>其他</w:t>
      </w:r>
      <w:bookmarkEnd w:id="827"/>
      <w:bookmarkEnd w:id="828"/>
    </w:p>
    <w:p>
      <w:pPr>
        <w:pStyle w:val="51"/>
        <w:keepNext w:val="0"/>
        <w:keepLines w:val="0"/>
        <w:pageBreakBefore w:val="0"/>
        <w:widowControl w:val="0"/>
        <w:numPr>
          <w:ilvl w:val="2"/>
          <w:numId w:val="21"/>
        </w:numPr>
        <w:kinsoku/>
        <w:overflowPunct/>
        <w:autoSpaceDE/>
        <w:autoSpaceDN/>
        <w:bidi w:val="0"/>
        <w:adjustRightInd w:val="0"/>
        <w:snapToGrid w:val="0"/>
        <w:spacing w:line="500" w:lineRule="exact"/>
        <w:ind w:firstLine="482"/>
        <w:rPr>
          <w:color w:val="auto"/>
          <w:highlight w:val="none"/>
        </w:rPr>
      </w:pPr>
      <w:bookmarkStart w:id="838" w:name="_Toc21262"/>
      <w:bookmarkStart w:id="839" w:name="_Toc29577"/>
      <w:r>
        <w:rPr>
          <w:rFonts w:hint="eastAsia"/>
          <w:color w:val="auto"/>
          <w:highlight w:val="none"/>
        </w:rPr>
        <w:t>询问</w:t>
      </w:r>
      <w:bookmarkEnd w:id="829"/>
      <w:bookmarkEnd w:id="830"/>
      <w:bookmarkEnd w:id="831"/>
      <w:bookmarkEnd w:id="832"/>
      <w:bookmarkEnd w:id="833"/>
      <w:bookmarkEnd w:id="834"/>
      <w:r>
        <w:rPr>
          <w:rFonts w:hint="eastAsia"/>
          <w:color w:val="auto"/>
          <w:highlight w:val="none"/>
        </w:rPr>
        <w:t>、质疑和投诉</w:t>
      </w:r>
      <w:bookmarkEnd w:id="838"/>
      <w:bookmarkEnd w:id="839"/>
    </w:p>
    <w:bookmarkEnd w:id="835"/>
    <w:bookmarkEnd w:id="836"/>
    <w:p>
      <w:pPr>
        <w:pStyle w:val="48"/>
        <w:keepNext w:val="0"/>
        <w:keepLines w:val="0"/>
        <w:pageBreakBefore w:val="0"/>
        <w:widowControl w:val="0"/>
        <w:kinsoku/>
        <w:overflowPunct/>
        <w:autoSpaceDE/>
        <w:autoSpaceDN/>
        <w:bidi w:val="0"/>
        <w:adjustRightInd w:val="0"/>
        <w:snapToGrid w:val="0"/>
        <w:spacing w:line="500" w:lineRule="exact"/>
        <w:rPr>
          <w:color w:val="auto"/>
          <w:highlight w:val="none"/>
        </w:rPr>
      </w:pPr>
      <w:r>
        <w:rPr>
          <w:rFonts w:hint="eastAsia"/>
          <w:color w:val="auto"/>
          <w:highlight w:val="none"/>
        </w:rPr>
        <w:t>具体详见投标人须知前附表。</w:t>
      </w:r>
    </w:p>
    <w:p>
      <w:pPr>
        <w:pStyle w:val="51"/>
        <w:keepNext w:val="0"/>
        <w:keepLines w:val="0"/>
        <w:pageBreakBefore w:val="0"/>
        <w:widowControl w:val="0"/>
        <w:numPr>
          <w:ilvl w:val="2"/>
          <w:numId w:val="21"/>
        </w:numPr>
        <w:kinsoku/>
        <w:overflowPunct/>
        <w:autoSpaceDE/>
        <w:autoSpaceDN/>
        <w:bidi w:val="0"/>
        <w:adjustRightInd w:val="0"/>
        <w:snapToGrid w:val="0"/>
        <w:spacing w:line="500" w:lineRule="exact"/>
        <w:ind w:firstLine="482"/>
        <w:rPr>
          <w:color w:val="auto"/>
          <w:highlight w:val="none"/>
        </w:rPr>
      </w:pPr>
      <w:bookmarkStart w:id="840" w:name="_Toc25955"/>
      <w:bookmarkStart w:id="841" w:name="_Toc1626"/>
      <w:bookmarkStart w:id="842" w:name="_Toc27417"/>
      <w:bookmarkStart w:id="843" w:name="_Toc22454"/>
      <w:bookmarkStart w:id="844" w:name="_Toc8852"/>
      <w:bookmarkStart w:id="845" w:name="_Toc11575"/>
      <w:r>
        <w:rPr>
          <w:rFonts w:hint="eastAsia"/>
          <w:color w:val="auto"/>
          <w:highlight w:val="none"/>
        </w:rPr>
        <w:t>关于行贿犯罪档案查询工作的规定</w:t>
      </w:r>
      <w:bookmarkEnd w:id="840"/>
      <w:bookmarkEnd w:id="841"/>
      <w:bookmarkEnd w:id="842"/>
      <w:bookmarkEnd w:id="843"/>
      <w:bookmarkEnd w:id="844"/>
      <w:bookmarkEnd w:id="845"/>
    </w:p>
    <w:p>
      <w:pPr>
        <w:pStyle w:val="48"/>
        <w:keepNext w:val="0"/>
        <w:keepLines w:val="0"/>
        <w:pageBreakBefore w:val="0"/>
        <w:widowControl w:val="0"/>
        <w:kinsoku/>
        <w:overflowPunct/>
        <w:autoSpaceDE/>
        <w:autoSpaceDN/>
        <w:bidi w:val="0"/>
        <w:adjustRightInd w:val="0"/>
        <w:snapToGrid w:val="0"/>
        <w:spacing w:line="500" w:lineRule="exact"/>
        <w:rPr>
          <w:color w:val="auto"/>
          <w:highlight w:val="none"/>
        </w:rPr>
      </w:pPr>
      <w:bookmarkStart w:id="846" w:name="_Toc25217"/>
      <w:bookmarkStart w:id="847" w:name="_Toc24870"/>
      <w:r>
        <w:rPr>
          <w:rFonts w:hint="eastAsia"/>
          <w:color w:val="auto"/>
          <w:highlight w:val="none"/>
        </w:rPr>
        <w:t>因国家检察机关职务犯罪侦查部门转隶工作已经完成，供应商参与采购活动时须按照采购文件要求提供承诺函或由采购代理机构通过“中国裁判文书网”查询，并将查询记录存档。</w:t>
      </w:r>
    </w:p>
    <w:p>
      <w:pPr>
        <w:pStyle w:val="51"/>
        <w:keepNext w:val="0"/>
        <w:keepLines w:val="0"/>
        <w:pageBreakBefore w:val="0"/>
        <w:widowControl w:val="0"/>
        <w:numPr>
          <w:ilvl w:val="2"/>
          <w:numId w:val="21"/>
        </w:numPr>
        <w:kinsoku/>
        <w:overflowPunct/>
        <w:autoSpaceDE/>
        <w:autoSpaceDN/>
        <w:bidi w:val="0"/>
        <w:adjustRightInd w:val="0"/>
        <w:snapToGrid w:val="0"/>
        <w:spacing w:line="500" w:lineRule="exact"/>
        <w:ind w:firstLine="482"/>
        <w:rPr>
          <w:color w:val="auto"/>
          <w:highlight w:val="none"/>
        </w:rPr>
      </w:pPr>
      <w:bookmarkStart w:id="848" w:name="_Toc28559"/>
      <w:bookmarkStart w:id="849" w:name="_Toc64"/>
      <w:bookmarkStart w:id="850" w:name="_Toc12518"/>
      <w:r>
        <w:rPr>
          <w:rFonts w:hint="eastAsia"/>
          <w:color w:val="auto"/>
          <w:highlight w:val="none"/>
        </w:rPr>
        <w:t>串通投标的情形</w:t>
      </w:r>
      <w:bookmarkEnd w:id="846"/>
      <w:bookmarkEnd w:id="847"/>
      <w:bookmarkEnd w:id="848"/>
      <w:bookmarkEnd w:id="849"/>
      <w:bookmarkEnd w:id="850"/>
    </w:p>
    <w:p>
      <w:pPr>
        <w:pStyle w:val="48"/>
        <w:keepNext w:val="0"/>
        <w:keepLines w:val="0"/>
        <w:pageBreakBefore w:val="0"/>
        <w:widowControl w:val="0"/>
        <w:kinsoku/>
        <w:overflowPunct/>
        <w:autoSpaceDE/>
        <w:autoSpaceDN/>
        <w:bidi w:val="0"/>
        <w:adjustRightInd w:val="0"/>
        <w:snapToGrid w:val="0"/>
        <w:spacing w:line="500" w:lineRule="exact"/>
        <w:rPr>
          <w:color w:val="auto"/>
          <w:highlight w:val="none"/>
        </w:rPr>
      </w:pPr>
      <w:r>
        <w:rPr>
          <w:rFonts w:hint="eastAsia"/>
          <w:color w:val="auto"/>
          <w:highlight w:val="none"/>
        </w:rPr>
        <w:t>有下列情形之一的，视为投标人串通投标，其投标无效。</w:t>
      </w:r>
    </w:p>
    <w:p>
      <w:pPr>
        <w:pStyle w:val="48"/>
        <w:keepNext w:val="0"/>
        <w:keepLines w:val="0"/>
        <w:pageBreakBefore w:val="0"/>
        <w:widowControl w:val="0"/>
        <w:kinsoku/>
        <w:overflowPunct/>
        <w:autoSpaceDE/>
        <w:autoSpaceDN/>
        <w:bidi w:val="0"/>
        <w:adjustRightInd w:val="0"/>
        <w:snapToGrid w:val="0"/>
        <w:spacing w:line="500" w:lineRule="exact"/>
        <w:rPr>
          <w:color w:val="auto"/>
          <w:highlight w:val="none"/>
        </w:rPr>
      </w:pPr>
      <w:r>
        <w:rPr>
          <w:rFonts w:hint="eastAsia"/>
          <w:color w:val="auto"/>
          <w:highlight w:val="none"/>
        </w:rPr>
        <w:t>1.不同投标人的投标文件由同一单位或者个人编制；</w:t>
      </w:r>
    </w:p>
    <w:p>
      <w:pPr>
        <w:pStyle w:val="48"/>
        <w:keepNext w:val="0"/>
        <w:keepLines w:val="0"/>
        <w:pageBreakBefore w:val="0"/>
        <w:widowControl w:val="0"/>
        <w:kinsoku/>
        <w:overflowPunct/>
        <w:autoSpaceDE/>
        <w:autoSpaceDN/>
        <w:bidi w:val="0"/>
        <w:adjustRightInd w:val="0"/>
        <w:snapToGrid w:val="0"/>
        <w:spacing w:line="500" w:lineRule="exact"/>
        <w:rPr>
          <w:color w:val="auto"/>
          <w:highlight w:val="none"/>
        </w:rPr>
      </w:pPr>
      <w:r>
        <w:rPr>
          <w:rFonts w:hint="eastAsia"/>
          <w:color w:val="auto"/>
          <w:highlight w:val="none"/>
        </w:rPr>
        <w:t>2.不同投标人委托同一单位或者个人办理投标事宜；</w:t>
      </w:r>
    </w:p>
    <w:p>
      <w:pPr>
        <w:pStyle w:val="48"/>
        <w:keepNext w:val="0"/>
        <w:keepLines w:val="0"/>
        <w:pageBreakBefore w:val="0"/>
        <w:widowControl w:val="0"/>
        <w:kinsoku/>
        <w:overflowPunct/>
        <w:autoSpaceDE/>
        <w:autoSpaceDN/>
        <w:bidi w:val="0"/>
        <w:adjustRightInd w:val="0"/>
        <w:snapToGrid w:val="0"/>
        <w:spacing w:line="500" w:lineRule="exact"/>
        <w:rPr>
          <w:color w:val="auto"/>
          <w:highlight w:val="none"/>
        </w:rPr>
      </w:pPr>
      <w:r>
        <w:rPr>
          <w:rFonts w:hint="eastAsia"/>
          <w:color w:val="auto"/>
          <w:highlight w:val="none"/>
        </w:rPr>
        <w:t>3.不同投标人的投标文件载明的项目管理成员或者联系人员为同一人；</w:t>
      </w:r>
    </w:p>
    <w:p>
      <w:pPr>
        <w:pStyle w:val="48"/>
        <w:keepNext w:val="0"/>
        <w:keepLines w:val="0"/>
        <w:pageBreakBefore w:val="0"/>
        <w:widowControl w:val="0"/>
        <w:kinsoku/>
        <w:overflowPunct/>
        <w:autoSpaceDE/>
        <w:autoSpaceDN/>
        <w:bidi w:val="0"/>
        <w:adjustRightInd w:val="0"/>
        <w:snapToGrid w:val="0"/>
        <w:spacing w:line="500" w:lineRule="exact"/>
        <w:rPr>
          <w:color w:val="auto"/>
          <w:highlight w:val="none"/>
        </w:rPr>
      </w:pPr>
      <w:r>
        <w:rPr>
          <w:rFonts w:hint="eastAsia"/>
          <w:color w:val="auto"/>
          <w:highlight w:val="none"/>
        </w:rPr>
        <w:t>4.不同投标人的投标文件异常一致或者投标报价呈规律性差异；</w:t>
      </w:r>
    </w:p>
    <w:p>
      <w:pPr>
        <w:pStyle w:val="48"/>
        <w:keepNext w:val="0"/>
        <w:keepLines w:val="0"/>
        <w:pageBreakBefore w:val="0"/>
        <w:widowControl w:val="0"/>
        <w:kinsoku/>
        <w:overflowPunct/>
        <w:autoSpaceDE/>
        <w:autoSpaceDN/>
        <w:bidi w:val="0"/>
        <w:adjustRightInd w:val="0"/>
        <w:snapToGrid w:val="0"/>
        <w:spacing w:line="500" w:lineRule="exact"/>
        <w:rPr>
          <w:rFonts w:hint="eastAsia" w:eastAsia="宋体"/>
          <w:color w:val="auto"/>
          <w:highlight w:val="none"/>
          <w:lang w:eastAsia="zh-CN"/>
        </w:rPr>
      </w:pPr>
      <w:r>
        <w:rPr>
          <w:rFonts w:hint="eastAsia"/>
          <w:color w:val="auto"/>
          <w:highlight w:val="none"/>
        </w:rPr>
        <w:t>5.不同投标人的投标文件相互混装</w:t>
      </w:r>
      <w:r>
        <w:rPr>
          <w:rFonts w:hint="eastAsia"/>
          <w:color w:val="auto"/>
          <w:highlight w:val="none"/>
          <w:lang w:eastAsia="zh-CN"/>
        </w:rPr>
        <w:t>；</w:t>
      </w:r>
    </w:p>
    <w:p>
      <w:pPr>
        <w:pStyle w:val="48"/>
        <w:keepNext w:val="0"/>
        <w:keepLines w:val="0"/>
        <w:pageBreakBefore w:val="0"/>
        <w:widowControl w:val="0"/>
        <w:kinsoku/>
        <w:overflowPunct/>
        <w:autoSpaceDE/>
        <w:autoSpaceDN/>
        <w:bidi w:val="0"/>
        <w:adjustRightInd w:val="0"/>
        <w:snapToGrid w:val="0"/>
        <w:spacing w:line="520" w:lineRule="exact"/>
        <w:rPr>
          <w:rFonts w:hint="eastAsia" w:eastAsia="宋体"/>
          <w:color w:val="auto"/>
          <w:highlight w:val="none"/>
          <w:lang w:eastAsia="zh-CN"/>
        </w:rPr>
      </w:pPr>
      <w:r>
        <w:rPr>
          <w:rFonts w:hint="eastAsia"/>
          <w:color w:val="auto"/>
          <w:highlight w:val="none"/>
          <w:lang w:val="en-US" w:eastAsia="zh-CN"/>
        </w:rPr>
        <w:t>6.</w:t>
      </w:r>
      <w:r>
        <w:rPr>
          <w:rFonts w:hint="eastAsia"/>
          <w:color w:val="auto"/>
          <w:highlight w:val="none"/>
          <w:lang w:eastAsia="zh-CN"/>
        </w:rPr>
        <w:t>不同投标人的投标保证金从同一单位或者个人的账户转出。</w:t>
      </w:r>
    </w:p>
    <w:p>
      <w:pPr>
        <w:pStyle w:val="51"/>
        <w:keepNext w:val="0"/>
        <w:keepLines w:val="0"/>
        <w:pageBreakBefore w:val="0"/>
        <w:widowControl w:val="0"/>
        <w:numPr>
          <w:ilvl w:val="2"/>
          <w:numId w:val="21"/>
        </w:numPr>
        <w:kinsoku/>
        <w:overflowPunct/>
        <w:autoSpaceDE/>
        <w:autoSpaceDN/>
        <w:bidi w:val="0"/>
        <w:adjustRightInd w:val="0"/>
        <w:snapToGrid w:val="0"/>
        <w:spacing w:line="500" w:lineRule="exact"/>
        <w:ind w:firstLine="482"/>
        <w:rPr>
          <w:color w:val="auto"/>
          <w:highlight w:val="none"/>
        </w:rPr>
      </w:pPr>
      <w:bookmarkStart w:id="851" w:name="_Toc21656"/>
      <w:bookmarkStart w:id="852" w:name="_Toc32334"/>
      <w:bookmarkStart w:id="853" w:name="_Toc17038"/>
      <w:bookmarkStart w:id="854" w:name="_Toc13852"/>
      <w:bookmarkStart w:id="855" w:name="_Toc10983"/>
      <w:bookmarkStart w:id="856" w:name="_Toc22192"/>
      <w:bookmarkStart w:id="857" w:name="_Toc19797"/>
      <w:r>
        <w:rPr>
          <w:rFonts w:hint="eastAsia"/>
          <w:color w:val="auto"/>
          <w:highlight w:val="none"/>
        </w:rPr>
        <w:t>投标人信用信息查询</w:t>
      </w:r>
      <w:bookmarkEnd w:id="851"/>
      <w:bookmarkEnd w:id="852"/>
      <w:bookmarkEnd w:id="853"/>
      <w:bookmarkEnd w:id="854"/>
      <w:bookmarkEnd w:id="855"/>
      <w:bookmarkEnd w:id="856"/>
      <w:bookmarkEnd w:id="857"/>
    </w:p>
    <w:p>
      <w:pPr>
        <w:pStyle w:val="34"/>
        <w:keepNext w:val="0"/>
        <w:keepLines w:val="0"/>
        <w:pageBreakBefore w:val="0"/>
        <w:widowControl w:val="0"/>
        <w:numPr>
          <w:ilvl w:val="0"/>
          <w:numId w:val="22"/>
        </w:numPr>
        <w:kinsoku/>
        <w:overflowPunct/>
        <w:autoSpaceDE/>
        <w:autoSpaceDN/>
        <w:bidi w:val="0"/>
        <w:adjustRightInd w:val="0"/>
        <w:snapToGrid w:val="0"/>
        <w:spacing w:line="500" w:lineRule="exact"/>
        <w:ind w:left="0" w:firstLine="480"/>
        <w:rPr>
          <w:color w:val="auto"/>
          <w:highlight w:val="none"/>
        </w:rPr>
      </w:pPr>
      <w:r>
        <w:rPr>
          <w:rFonts w:hint="eastAsia"/>
          <w:color w:val="auto"/>
          <w:highlight w:val="none"/>
        </w:rPr>
        <w:t>投标人信用信息查询渠道</w:t>
      </w:r>
    </w:p>
    <w:p>
      <w:pPr>
        <w:pStyle w:val="48"/>
        <w:keepNext w:val="0"/>
        <w:keepLines w:val="0"/>
        <w:pageBreakBefore w:val="0"/>
        <w:widowControl w:val="0"/>
        <w:kinsoku/>
        <w:overflowPunct/>
        <w:autoSpaceDE/>
        <w:autoSpaceDN/>
        <w:bidi w:val="0"/>
        <w:adjustRightInd w:val="0"/>
        <w:snapToGrid w:val="0"/>
        <w:spacing w:line="500" w:lineRule="exact"/>
        <w:rPr>
          <w:color w:val="auto"/>
          <w:highlight w:val="none"/>
        </w:rPr>
      </w:pPr>
      <w:r>
        <w:rPr>
          <w:rFonts w:hint="eastAsia"/>
          <w:color w:val="auto"/>
          <w:highlight w:val="none"/>
        </w:rPr>
        <w:t>“信用中国”网站(www.creditchina.gov.cn)、“中国政府采购网”(www.ccgp.gov.cn)等。</w:t>
      </w:r>
    </w:p>
    <w:p>
      <w:pPr>
        <w:pStyle w:val="34"/>
        <w:keepNext w:val="0"/>
        <w:keepLines w:val="0"/>
        <w:pageBreakBefore w:val="0"/>
        <w:widowControl w:val="0"/>
        <w:numPr>
          <w:ilvl w:val="0"/>
          <w:numId w:val="22"/>
        </w:numPr>
        <w:kinsoku/>
        <w:overflowPunct/>
        <w:autoSpaceDE/>
        <w:autoSpaceDN/>
        <w:bidi w:val="0"/>
        <w:adjustRightInd w:val="0"/>
        <w:snapToGrid w:val="0"/>
        <w:spacing w:line="500" w:lineRule="exact"/>
        <w:ind w:left="0" w:firstLine="480"/>
        <w:rPr>
          <w:color w:val="auto"/>
          <w:highlight w:val="none"/>
        </w:rPr>
      </w:pPr>
      <w:r>
        <w:rPr>
          <w:rFonts w:hint="eastAsia"/>
          <w:color w:val="auto"/>
          <w:highlight w:val="none"/>
        </w:rPr>
        <w:t>投标人信用信息查询截止时点</w:t>
      </w:r>
    </w:p>
    <w:p>
      <w:pPr>
        <w:pStyle w:val="48"/>
        <w:keepNext w:val="0"/>
        <w:keepLines w:val="0"/>
        <w:pageBreakBefore w:val="0"/>
        <w:widowControl w:val="0"/>
        <w:kinsoku/>
        <w:overflowPunct/>
        <w:autoSpaceDE/>
        <w:autoSpaceDN/>
        <w:bidi w:val="0"/>
        <w:adjustRightInd w:val="0"/>
        <w:snapToGrid w:val="0"/>
        <w:spacing w:line="500" w:lineRule="exact"/>
        <w:rPr>
          <w:color w:val="auto"/>
          <w:highlight w:val="none"/>
        </w:rPr>
      </w:pPr>
      <w:r>
        <w:rPr>
          <w:rFonts w:hint="eastAsia"/>
          <w:color w:val="auto"/>
          <w:highlight w:val="none"/>
        </w:rPr>
        <w:t>信用信息查询在资格审查阶段完成。</w:t>
      </w:r>
    </w:p>
    <w:p>
      <w:pPr>
        <w:pStyle w:val="34"/>
        <w:keepNext w:val="0"/>
        <w:keepLines w:val="0"/>
        <w:pageBreakBefore w:val="0"/>
        <w:widowControl w:val="0"/>
        <w:numPr>
          <w:ilvl w:val="0"/>
          <w:numId w:val="22"/>
        </w:numPr>
        <w:kinsoku/>
        <w:overflowPunct/>
        <w:autoSpaceDE/>
        <w:autoSpaceDN/>
        <w:bidi w:val="0"/>
        <w:adjustRightInd w:val="0"/>
        <w:snapToGrid w:val="0"/>
        <w:spacing w:line="500" w:lineRule="exact"/>
        <w:ind w:left="0" w:firstLine="480"/>
        <w:rPr>
          <w:color w:val="auto"/>
          <w:highlight w:val="none"/>
        </w:rPr>
      </w:pPr>
      <w:r>
        <w:rPr>
          <w:rFonts w:hint="eastAsia"/>
          <w:color w:val="auto"/>
          <w:highlight w:val="none"/>
        </w:rPr>
        <w:t>投标人信用信息查询记录和证据留存的具体方式</w:t>
      </w:r>
    </w:p>
    <w:p>
      <w:pPr>
        <w:pStyle w:val="48"/>
        <w:keepNext w:val="0"/>
        <w:keepLines w:val="0"/>
        <w:pageBreakBefore w:val="0"/>
        <w:widowControl w:val="0"/>
        <w:kinsoku/>
        <w:overflowPunct/>
        <w:autoSpaceDE/>
        <w:autoSpaceDN/>
        <w:bidi w:val="0"/>
        <w:adjustRightInd w:val="0"/>
        <w:snapToGrid w:val="0"/>
        <w:spacing w:line="500" w:lineRule="exact"/>
        <w:rPr>
          <w:color w:val="auto"/>
          <w:highlight w:val="none"/>
        </w:rPr>
      </w:pPr>
      <w:r>
        <w:rPr>
          <w:rFonts w:hint="eastAsia"/>
          <w:color w:val="auto"/>
          <w:highlight w:val="none"/>
        </w:rPr>
        <w:t>采购代理机构通过“信用中国”网站、“中国政府采购网”等渠道对供应商进行信用记录查询，并将查询记录存档。</w:t>
      </w:r>
    </w:p>
    <w:p>
      <w:pPr>
        <w:pStyle w:val="34"/>
        <w:keepNext w:val="0"/>
        <w:keepLines w:val="0"/>
        <w:pageBreakBefore w:val="0"/>
        <w:widowControl w:val="0"/>
        <w:numPr>
          <w:ilvl w:val="0"/>
          <w:numId w:val="22"/>
        </w:numPr>
        <w:kinsoku/>
        <w:overflowPunct/>
        <w:autoSpaceDE/>
        <w:autoSpaceDN/>
        <w:bidi w:val="0"/>
        <w:adjustRightInd w:val="0"/>
        <w:snapToGrid w:val="0"/>
        <w:spacing w:line="500" w:lineRule="exact"/>
        <w:ind w:left="0" w:firstLine="480"/>
        <w:rPr>
          <w:color w:val="auto"/>
          <w:highlight w:val="none"/>
        </w:rPr>
      </w:pPr>
      <w:r>
        <w:rPr>
          <w:rFonts w:hint="eastAsia"/>
          <w:color w:val="auto"/>
          <w:highlight w:val="none"/>
        </w:rPr>
        <w:t>投标人信用信息的使用：凡被列入失信被执行人、重大税收违法案件当事人名单、政府采购严重违法失信行为记录名单的，视为存在不良信用记录，参与本项目的将被拒绝。</w:t>
      </w:r>
    </w:p>
    <w:p>
      <w:pPr>
        <w:pStyle w:val="51"/>
        <w:keepNext w:val="0"/>
        <w:keepLines w:val="0"/>
        <w:pageBreakBefore w:val="0"/>
        <w:widowControl w:val="0"/>
        <w:numPr>
          <w:ilvl w:val="2"/>
          <w:numId w:val="21"/>
        </w:numPr>
        <w:kinsoku/>
        <w:overflowPunct/>
        <w:autoSpaceDE/>
        <w:autoSpaceDN/>
        <w:bidi w:val="0"/>
        <w:adjustRightInd w:val="0"/>
        <w:snapToGrid w:val="0"/>
        <w:spacing w:line="500" w:lineRule="exact"/>
        <w:ind w:firstLine="482"/>
        <w:rPr>
          <w:color w:val="auto"/>
          <w:highlight w:val="none"/>
        </w:rPr>
      </w:pPr>
      <w:bookmarkStart w:id="858" w:name="_Toc5265"/>
      <w:bookmarkStart w:id="859" w:name="_Toc19725"/>
      <w:bookmarkStart w:id="860" w:name="_Toc5438"/>
      <w:r>
        <w:rPr>
          <w:rFonts w:hint="eastAsia"/>
          <w:color w:val="auto"/>
          <w:highlight w:val="none"/>
        </w:rPr>
        <w:t>保密</w:t>
      </w:r>
      <w:bookmarkEnd w:id="858"/>
      <w:bookmarkEnd w:id="859"/>
      <w:bookmarkEnd w:id="860"/>
    </w:p>
    <w:p>
      <w:pPr>
        <w:pStyle w:val="9"/>
        <w:keepNext w:val="0"/>
        <w:keepLines w:val="0"/>
        <w:pageBreakBefore w:val="0"/>
        <w:widowControl w:val="0"/>
        <w:tabs>
          <w:tab w:val="left" w:pos="1134"/>
          <w:tab w:val="clear" w:pos="0"/>
        </w:tabs>
        <w:kinsoku/>
        <w:overflowPunct/>
        <w:autoSpaceDE/>
        <w:autoSpaceDN/>
        <w:bidi w:val="0"/>
        <w:adjustRightInd w:val="0"/>
        <w:snapToGrid w:val="0"/>
        <w:spacing w:line="500" w:lineRule="exact"/>
        <w:ind w:firstLine="480"/>
        <w:rPr>
          <w:color w:val="auto"/>
          <w:highlight w:val="none"/>
        </w:rPr>
      </w:pPr>
      <w:r>
        <w:rPr>
          <w:rFonts w:hint="eastAsia"/>
          <w:color w:val="auto"/>
          <w:highlight w:val="none"/>
        </w:rPr>
        <w:t>1.各采购当事人不得透露有关成功获取采购文件的潜在投标人的任何情况。</w:t>
      </w:r>
    </w:p>
    <w:p>
      <w:pPr>
        <w:pStyle w:val="9"/>
        <w:keepNext w:val="0"/>
        <w:keepLines w:val="0"/>
        <w:pageBreakBefore w:val="0"/>
        <w:widowControl w:val="0"/>
        <w:tabs>
          <w:tab w:val="left" w:pos="1134"/>
          <w:tab w:val="clear" w:pos="0"/>
        </w:tabs>
        <w:kinsoku/>
        <w:overflowPunct/>
        <w:autoSpaceDE/>
        <w:autoSpaceDN/>
        <w:bidi w:val="0"/>
        <w:adjustRightInd w:val="0"/>
        <w:snapToGrid w:val="0"/>
        <w:spacing w:line="500" w:lineRule="exact"/>
        <w:ind w:firstLine="480"/>
        <w:rPr>
          <w:color w:val="auto"/>
          <w:highlight w:val="none"/>
        </w:rPr>
      </w:pPr>
      <w:r>
        <w:rPr>
          <w:rFonts w:hint="eastAsia"/>
          <w:color w:val="auto"/>
          <w:highlight w:val="none"/>
        </w:rPr>
        <w:t>2.投标人有关投标文件的审查、澄清、评估和比较以及合同授予意向等情况均不得对外透露。</w:t>
      </w:r>
    </w:p>
    <w:p>
      <w:pPr>
        <w:pStyle w:val="51"/>
        <w:keepNext w:val="0"/>
        <w:keepLines w:val="0"/>
        <w:pageBreakBefore w:val="0"/>
        <w:widowControl w:val="0"/>
        <w:numPr>
          <w:ilvl w:val="2"/>
          <w:numId w:val="21"/>
        </w:numPr>
        <w:kinsoku/>
        <w:overflowPunct/>
        <w:autoSpaceDE/>
        <w:autoSpaceDN/>
        <w:bidi w:val="0"/>
        <w:adjustRightInd w:val="0"/>
        <w:snapToGrid w:val="0"/>
        <w:spacing w:line="500" w:lineRule="exact"/>
        <w:ind w:firstLine="482"/>
        <w:rPr>
          <w:color w:val="auto"/>
          <w:highlight w:val="none"/>
        </w:rPr>
      </w:pPr>
      <w:bookmarkStart w:id="861" w:name="_Toc3709"/>
      <w:bookmarkStart w:id="862" w:name="_Toc13024"/>
      <w:bookmarkStart w:id="863" w:name="_Toc9400"/>
      <w:r>
        <w:rPr>
          <w:rFonts w:hint="eastAsia"/>
          <w:color w:val="auto"/>
          <w:highlight w:val="none"/>
        </w:rPr>
        <w:t>回避</w:t>
      </w:r>
      <w:bookmarkEnd w:id="861"/>
      <w:bookmarkEnd w:id="862"/>
      <w:bookmarkEnd w:id="863"/>
    </w:p>
    <w:p>
      <w:pPr>
        <w:pStyle w:val="22"/>
        <w:keepNext w:val="0"/>
        <w:keepLines w:val="0"/>
        <w:pageBreakBefore w:val="0"/>
        <w:widowControl w:val="0"/>
        <w:shd w:val="clear" w:color="auto" w:fill="FFFFFF"/>
        <w:kinsoku/>
        <w:overflowPunct/>
        <w:autoSpaceDE/>
        <w:autoSpaceDN/>
        <w:bidi w:val="0"/>
        <w:adjustRightInd w:val="0"/>
        <w:snapToGrid w:val="0"/>
        <w:spacing w:beforeAutospacing="0" w:afterAutospacing="0" w:line="500" w:lineRule="exact"/>
        <w:ind w:firstLine="480" w:firstLineChars="200"/>
        <w:jc w:val="both"/>
        <w:textAlignment w:val="center"/>
        <w:rPr>
          <w:rFonts w:cstheme="minorBidi"/>
          <w:color w:val="auto"/>
          <w:kern w:val="2"/>
          <w:highlight w:val="none"/>
        </w:rPr>
      </w:pPr>
      <w:r>
        <w:rPr>
          <w:rFonts w:hint="eastAsia" w:cstheme="minorBidi"/>
          <w:color w:val="auto"/>
          <w:kern w:val="2"/>
          <w:highlight w:val="none"/>
        </w:rPr>
        <w:t>在</w:t>
      </w:r>
      <w:r>
        <w:rPr>
          <w:rFonts w:hint="eastAsia" w:cstheme="minorBidi"/>
          <w:color w:val="auto"/>
          <w:kern w:val="2"/>
          <w:highlight w:val="none"/>
          <w:lang w:eastAsia="zh-CN"/>
        </w:rPr>
        <w:t>采购</w:t>
      </w:r>
      <w:r>
        <w:rPr>
          <w:rFonts w:hint="eastAsia" w:cstheme="minorBidi"/>
          <w:color w:val="auto"/>
          <w:kern w:val="2"/>
          <w:highlight w:val="none"/>
        </w:rPr>
        <w:t>活动中，采购人员及相关人员与供应商有下列利害关系之一的，应当回避：</w:t>
      </w:r>
    </w:p>
    <w:p>
      <w:pPr>
        <w:pStyle w:val="22"/>
        <w:keepNext w:val="0"/>
        <w:keepLines w:val="0"/>
        <w:pageBreakBefore w:val="0"/>
        <w:widowControl w:val="0"/>
        <w:shd w:val="clear" w:color="auto" w:fill="FFFFFF"/>
        <w:kinsoku/>
        <w:overflowPunct/>
        <w:autoSpaceDE/>
        <w:autoSpaceDN/>
        <w:bidi w:val="0"/>
        <w:adjustRightInd w:val="0"/>
        <w:snapToGrid w:val="0"/>
        <w:spacing w:beforeAutospacing="0" w:afterAutospacing="0" w:line="500" w:lineRule="exact"/>
        <w:ind w:firstLine="480" w:firstLineChars="200"/>
        <w:jc w:val="both"/>
        <w:textAlignment w:val="center"/>
        <w:rPr>
          <w:rFonts w:cstheme="minorBidi"/>
          <w:color w:val="auto"/>
          <w:kern w:val="2"/>
          <w:highlight w:val="none"/>
        </w:rPr>
      </w:pPr>
      <w:r>
        <w:rPr>
          <w:rFonts w:hint="eastAsia" w:cstheme="minorBidi"/>
          <w:color w:val="auto"/>
          <w:kern w:val="2"/>
          <w:highlight w:val="none"/>
        </w:rPr>
        <w:t>1.参加采购活动前3年内与供应商存在劳动关系；</w:t>
      </w:r>
    </w:p>
    <w:p>
      <w:pPr>
        <w:pStyle w:val="22"/>
        <w:keepNext w:val="0"/>
        <w:keepLines w:val="0"/>
        <w:pageBreakBefore w:val="0"/>
        <w:widowControl w:val="0"/>
        <w:shd w:val="clear" w:color="auto" w:fill="FFFFFF"/>
        <w:kinsoku/>
        <w:overflowPunct/>
        <w:autoSpaceDE/>
        <w:autoSpaceDN/>
        <w:bidi w:val="0"/>
        <w:adjustRightInd w:val="0"/>
        <w:snapToGrid w:val="0"/>
        <w:spacing w:beforeAutospacing="0" w:afterAutospacing="0" w:line="500" w:lineRule="exact"/>
        <w:ind w:firstLine="480" w:firstLineChars="200"/>
        <w:jc w:val="both"/>
        <w:textAlignment w:val="center"/>
        <w:rPr>
          <w:rFonts w:cstheme="minorBidi"/>
          <w:color w:val="auto"/>
          <w:kern w:val="2"/>
          <w:highlight w:val="none"/>
        </w:rPr>
      </w:pPr>
      <w:r>
        <w:rPr>
          <w:rFonts w:hint="eastAsia" w:cstheme="minorBidi"/>
          <w:color w:val="auto"/>
          <w:kern w:val="2"/>
          <w:highlight w:val="none"/>
        </w:rPr>
        <w:t>2.参加采购活动前3年内担任供应商的董事、监事；</w:t>
      </w:r>
    </w:p>
    <w:p>
      <w:pPr>
        <w:pStyle w:val="22"/>
        <w:keepNext w:val="0"/>
        <w:keepLines w:val="0"/>
        <w:pageBreakBefore w:val="0"/>
        <w:widowControl w:val="0"/>
        <w:shd w:val="clear" w:color="auto" w:fill="FFFFFF"/>
        <w:kinsoku/>
        <w:overflowPunct/>
        <w:autoSpaceDE/>
        <w:autoSpaceDN/>
        <w:bidi w:val="0"/>
        <w:adjustRightInd w:val="0"/>
        <w:snapToGrid w:val="0"/>
        <w:spacing w:beforeAutospacing="0" w:afterAutospacing="0" w:line="500" w:lineRule="exact"/>
        <w:ind w:firstLine="480" w:firstLineChars="200"/>
        <w:jc w:val="both"/>
        <w:textAlignment w:val="center"/>
        <w:rPr>
          <w:rFonts w:cstheme="minorBidi"/>
          <w:color w:val="auto"/>
          <w:kern w:val="2"/>
          <w:highlight w:val="none"/>
        </w:rPr>
      </w:pPr>
      <w:r>
        <w:rPr>
          <w:rFonts w:hint="eastAsia" w:cstheme="minorBidi"/>
          <w:color w:val="auto"/>
          <w:kern w:val="2"/>
          <w:highlight w:val="none"/>
        </w:rPr>
        <w:t>3.参加采购活动前3年内是供应商的控股股东或者实际控制人；</w:t>
      </w:r>
    </w:p>
    <w:p>
      <w:pPr>
        <w:pStyle w:val="22"/>
        <w:keepNext w:val="0"/>
        <w:keepLines w:val="0"/>
        <w:pageBreakBefore w:val="0"/>
        <w:widowControl w:val="0"/>
        <w:shd w:val="clear" w:color="auto" w:fill="FFFFFF"/>
        <w:kinsoku/>
        <w:overflowPunct/>
        <w:autoSpaceDE/>
        <w:autoSpaceDN/>
        <w:bidi w:val="0"/>
        <w:adjustRightInd w:val="0"/>
        <w:snapToGrid w:val="0"/>
        <w:spacing w:beforeAutospacing="0" w:afterAutospacing="0" w:line="500" w:lineRule="exact"/>
        <w:ind w:firstLine="480" w:firstLineChars="200"/>
        <w:jc w:val="both"/>
        <w:textAlignment w:val="center"/>
        <w:rPr>
          <w:rFonts w:cstheme="minorBidi"/>
          <w:color w:val="auto"/>
          <w:kern w:val="2"/>
          <w:highlight w:val="none"/>
        </w:rPr>
      </w:pPr>
      <w:r>
        <w:rPr>
          <w:rFonts w:hint="eastAsia" w:cstheme="minorBidi"/>
          <w:color w:val="auto"/>
          <w:kern w:val="2"/>
          <w:highlight w:val="none"/>
        </w:rPr>
        <w:t>4.与供应商的法定代表人或者负责人有夫妻、直系血亲、三代以内旁系血亲或者近姻亲关系；</w:t>
      </w:r>
    </w:p>
    <w:p>
      <w:pPr>
        <w:pStyle w:val="22"/>
        <w:keepNext w:val="0"/>
        <w:keepLines w:val="0"/>
        <w:pageBreakBefore w:val="0"/>
        <w:widowControl w:val="0"/>
        <w:shd w:val="clear" w:color="auto" w:fill="FFFFFF"/>
        <w:kinsoku/>
        <w:overflowPunct/>
        <w:autoSpaceDE/>
        <w:autoSpaceDN/>
        <w:bidi w:val="0"/>
        <w:adjustRightInd w:val="0"/>
        <w:snapToGrid w:val="0"/>
        <w:spacing w:beforeAutospacing="0" w:afterAutospacing="0" w:line="500" w:lineRule="exact"/>
        <w:ind w:firstLine="480" w:firstLineChars="200"/>
        <w:jc w:val="both"/>
        <w:textAlignment w:val="center"/>
        <w:rPr>
          <w:rFonts w:cstheme="minorBidi"/>
          <w:color w:val="auto"/>
          <w:kern w:val="2"/>
          <w:highlight w:val="none"/>
        </w:rPr>
      </w:pPr>
      <w:r>
        <w:rPr>
          <w:rFonts w:hint="eastAsia" w:cstheme="minorBidi"/>
          <w:color w:val="auto"/>
          <w:kern w:val="2"/>
          <w:highlight w:val="none"/>
        </w:rPr>
        <w:t>5.与供应商有其他可能影响</w:t>
      </w:r>
      <w:r>
        <w:rPr>
          <w:rFonts w:hint="eastAsia" w:cstheme="minorBidi"/>
          <w:color w:val="auto"/>
          <w:kern w:val="2"/>
          <w:highlight w:val="none"/>
          <w:lang w:eastAsia="zh-CN"/>
        </w:rPr>
        <w:t>采购</w:t>
      </w:r>
      <w:r>
        <w:rPr>
          <w:rFonts w:hint="eastAsia" w:cstheme="minorBidi"/>
          <w:color w:val="auto"/>
          <w:kern w:val="2"/>
          <w:highlight w:val="none"/>
        </w:rPr>
        <w:t>活动公平、公正进行的关系。</w:t>
      </w:r>
    </w:p>
    <w:p>
      <w:pPr>
        <w:pStyle w:val="9"/>
        <w:keepNext w:val="0"/>
        <w:keepLines w:val="0"/>
        <w:pageBreakBefore w:val="0"/>
        <w:widowControl w:val="0"/>
        <w:tabs>
          <w:tab w:val="left" w:pos="1134"/>
          <w:tab w:val="clear" w:pos="0"/>
        </w:tabs>
        <w:kinsoku/>
        <w:overflowPunct/>
        <w:autoSpaceDE/>
        <w:autoSpaceDN/>
        <w:bidi w:val="0"/>
        <w:adjustRightInd w:val="0"/>
        <w:snapToGrid w:val="0"/>
        <w:spacing w:line="500" w:lineRule="exact"/>
        <w:ind w:firstLine="480"/>
        <w:rPr>
          <w:color w:val="auto"/>
          <w:highlight w:val="none"/>
        </w:rPr>
      </w:pPr>
      <w:r>
        <w:rPr>
          <w:rFonts w:hint="eastAsia"/>
          <w:color w:val="auto"/>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51"/>
        <w:keepNext w:val="0"/>
        <w:keepLines w:val="0"/>
        <w:pageBreakBefore w:val="0"/>
        <w:widowControl w:val="0"/>
        <w:numPr>
          <w:ilvl w:val="2"/>
          <w:numId w:val="21"/>
        </w:numPr>
        <w:kinsoku/>
        <w:overflowPunct/>
        <w:autoSpaceDE/>
        <w:autoSpaceDN/>
        <w:bidi w:val="0"/>
        <w:adjustRightInd w:val="0"/>
        <w:snapToGrid w:val="0"/>
        <w:spacing w:line="500" w:lineRule="exact"/>
        <w:ind w:firstLine="482"/>
        <w:rPr>
          <w:color w:val="auto"/>
          <w:highlight w:val="none"/>
        </w:rPr>
      </w:pPr>
      <w:bookmarkStart w:id="864" w:name="_Toc27385"/>
      <w:bookmarkStart w:id="865" w:name="_Toc8612"/>
      <w:r>
        <w:rPr>
          <w:rFonts w:hint="eastAsia"/>
          <w:color w:val="auto"/>
          <w:highlight w:val="none"/>
        </w:rPr>
        <w:t>解释说明</w:t>
      </w:r>
      <w:bookmarkEnd w:id="864"/>
      <w:bookmarkEnd w:id="865"/>
    </w:p>
    <w:p>
      <w:pPr>
        <w:pStyle w:val="34"/>
        <w:keepNext w:val="0"/>
        <w:keepLines w:val="0"/>
        <w:pageBreakBefore w:val="0"/>
        <w:widowControl w:val="0"/>
        <w:numPr>
          <w:ilvl w:val="1"/>
          <w:numId w:val="0"/>
        </w:numPr>
        <w:kinsoku/>
        <w:overflowPunct/>
        <w:autoSpaceDE/>
        <w:autoSpaceDN/>
        <w:bidi w:val="0"/>
        <w:adjustRightInd w:val="0"/>
        <w:snapToGrid w:val="0"/>
        <w:spacing w:line="500" w:lineRule="exact"/>
        <w:ind w:firstLine="480" w:firstLineChars="200"/>
        <w:rPr>
          <w:color w:val="auto"/>
          <w:highlight w:val="none"/>
        </w:rPr>
      </w:pPr>
      <w:r>
        <w:rPr>
          <w:rFonts w:hint="eastAsia"/>
          <w:color w:val="auto"/>
          <w:highlight w:val="none"/>
        </w:rPr>
        <w:t>1.本招标文件中作为实质性要求的内容，除明确要求需在投标时提供承诺函等证明材料的外，采购人或采购代理机构或评标委员会在评审时，仅对投标文件是否违背实质性要求进行审查，如该项未违背实质性要求，视为满足实质性要求。</w:t>
      </w:r>
    </w:p>
    <w:p>
      <w:pPr>
        <w:pStyle w:val="34"/>
        <w:keepNext w:val="0"/>
        <w:keepLines w:val="0"/>
        <w:pageBreakBefore w:val="0"/>
        <w:widowControl w:val="0"/>
        <w:numPr>
          <w:ilvl w:val="1"/>
          <w:numId w:val="0"/>
        </w:numPr>
        <w:kinsoku/>
        <w:overflowPunct/>
        <w:autoSpaceDE/>
        <w:autoSpaceDN/>
        <w:bidi w:val="0"/>
        <w:adjustRightInd w:val="0"/>
        <w:snapToGrid w:val="0"/>
        <w:spacing w:line="500" w:lineRule="exact"/>
        <w:ind w:firstLine="480" w:firstLineChars="200"/>
        <w:rPr>
          <w:color w:val="auto"/>
          <w:highlight w:val="none"/>
        </w:rPr>
      </w:pPr>
      <w:r>
        <w:rPr>
          <w:rFonts w:hint="eastAsia"/>
          <w:color w:val="auto"/>
          <w:highlight w:val="none"/>
        </w:rPr>
        <w:t>2.本招标文件中所引用的相关法律法规规定，在</w:t>
      </w:r>
      <w:r>
        <w:rPr>
          <w:rFonts w:hint="eastAsia"/>
          <w:color w:val="auto"/>
          <w:highlight w:val="none"/>
          <w:lang w:eastAsia="zh-CN"/>
        </w:rPr>
        <w:t>采购</w:t>
      </w:r>
      <w:r>
        <w:rPr>
          <w:rFonts w:hint="eastAsia"/>
          <w:color w:val="auto"/>
          <w:highlight w:val="none"/>
        </w:rPr>
        <w:t>中有调整的，按照调整后的相关法律法规规定执行。本章和第七章中“1.总则、2.评标方法、3.评标程序”规定的内容条款，在本项目投标截止时间届满后，因相关法律法规规定的调整导致不符合相关法律法规规定的，按照调整后的相关法律法规规定执行，本招标文件不再作调整。</w:t>
      </w:r>
    </w:p>
    <w:p>
      <w:pPr>
        <w:pStyle w:val="34"/>
        <w:keepNext w:val="0"/>
        <w:keepLines w:val="0"/>
        <w:pageBreakBefore w:val="0"/>
        <w:widowControl w:val="0"/>
        <w:numPr>
          <w:ilvl w:val="1"/>
          <w:numId w:val="0"/>
        </w:numPr>
        <w:kinsoku/>
        <w:overflowPunct/>
        <w:autoSpaceDE/>
        <w:autoSpaceDN/>
        <w:bidi w:val="0"/>
        <w:adjustRightInd w:val="0"/>
        <w:snapToGrid w:val="0"/>
        <w:spacing w:line="500" w:lineRule="exact"/>
        <w:ind w:firstLine="480" w:firstLineChars="200"/>
        <w:rPr>
          <w:color w:val="auto"/>
          <w:highlight w:val="none"/>
        </w:rPr>
      </w:pPr>
      <w:r>
        <w:rPr>
          <w:rFonts w:hint="eastAsia"/>
          <w:color w:val="auto"/>
          <w:highlight w:val="none"/>
        </w:rPr>
        <w:t>3.国家或行业主管部门对供应商和采购产品的技术标准、质量标准和资格资质条件等有强制性规定的，必须符合其要求</w:t>
      </w:r>
      <w:r>
        <w:rPr>
          <w:rFonts w:hint="eastAsia"/>
          <w:b/>
          <w:bCs/>
          <w:color w:val="auto"/>
          <w:highlight w:val="none"/>
        </w:rPr>
        <w:t>(实质性要求)</w:t>
      </w:r>
      <w:r>
        <w:rPr>
          <w:rFonts w:hint="eastAsia"/>
          <w:color w:val="auto"/>
          <w:highlight w:val="none"/>
        </w:rPr>
        <w:t>。</w:t>
      </w:r>
    </w:p>
    <w:p>
      <w:pPr>
        <w:pStyle w:val="34"/>
        <w:keepNext w:val="0"/>
        <w:keepLines w:val="0"/>
        <w:pageBreakBefore w:val="0"/>
        <w:widowControl w:val="0"/>
        <w:numPr>
          <w:ilvl w:val="1"/>
          <w:numId w:val="0"/>
        </w:numPr>
        <w:kinsoku/>
        <w:overflowPunct/>
        <w:autoSpaceDE/>
        <w:autoSpaceDN/>
        <w:bidi w:val="0"/>
        <w:adjustRightInd w:val="0"/>
        <w:snapToGrid w:val="0"/>
        <w:spacing w:line="500" w:lineRule="exact"/>
        <w:ind w:firstLine="480" w:firstLineChars="200"/>
        <w:rPr>
          <w:color w:val="auto"/>
          <w:highlight w:val="none"/>
        </w:rPr>
      </w:pPr>
      <w:r>
        <w:rPr>
          <w:rFonts w:hint="eastAsia"/>
          <w:color w:val="auto"/>
          <w:highlight w:val="none"/>
        </w:rPr>
        <w:t>4.</w:t>
      </w:r>
      <w:r>
        <w:rPr>
          <w:rFonts w:hint="eastAsia" w:cs="宋体"/>
          <w:color w:val="auto"/>
          <w:highlight w:val="none"/>
        </w:rPr>
        <w:t>本项目涉及企业资质、产品认证、</w:t>
      </w:r>
      <w:r>
        <w:rPr>
          <w:rFonts w:hint="eastAsia" w:cs="宋体"/>
          <w:color w:val="auto"/>
          <w:highlight w:val="none"/>
          <w:lang w:val="en-US" w:eastAsia="zh-CN"/>
        </w:rPr>
        <w:t>国家标准、</w:t>
      </w:r>
      <w:r>
        <w:rPr>
          <w:rFonts w:hint="eastAsia" w:cs="宋体"/>
          <w:color w:val="auto"/>
          <w:highlight w:val="none"/>
        </w:rPr>
        <w:t>人员执业资格等描述与国家最新要求不一致时以最新要求为准。</w:t>
      </w:r>
    </w:p>
    <w:p>
      <w:pPr>
        <w:pStyle w:val="50"/>
        <w:numPr>
          <w:ilvl w:val="0"/>
          <w:numId w:val="15"/>
        </w:numPr>
        <w:spacing w:before="120" w:after="120"/>
        <w:rPr>
          <w:color w:val="auto"/>
          <w:highlight w:val="none"/>
        </w:rPr>
      </w:pPr>
      <w:r>
        <w:rPr>
          <w:rFonts w:hint="eastAsia"/>
          <w:color w:val="auto"/>
          <w:highlight w:val="none"/>
        </w:rPr>
        <w:br w:type="page"/>
      </w:r>
      <w:bookmarkEnd w:id="837"/>
      <w:bookmarkStart w:id="866" w:name="_Toc4206"/>
      <w:bookmarkStart w:id="867" w:name="_Toc25961"/>
      <w:bookmarkStart w:id="868" w:name="_Toc3755"/>
      <w:bookmarkStart w:id="869" w:name="_Toc31402"/>
      <w:bookmarkStart w:id="870" w:name="_Toc29575"/>
      <w:bookmarkStart w:id="871" w:name="_Toc16256"/>
      <w:r>
        <w:rPr>
          <w:rFonts w:hint="eastAsia"/>
          <w:color w:val="auto"/>
          <w:highlight w:val="none"/>
        </w:rPr>
        <w:t>投标文件格式</w:t>
      </w:r>
      <w:bookmarkEnd w:id="866"/>
      <w:bookmarkEnd w:id="867"/>
      <w:bookmarkEnd w:id="868"/>
      <w:bookmarkEnd w:id="869"/>
      <w:bookmarkEnd w:id="870"/>
      <w:bookmarkEnd w:id="871"/>
    </w:p>
    <w:p>
      <w:pPr>
        <w:pStyle w:val="52"/>
        <w:spacing w:line="520" w:lineRule="exact"/>
        <w:ind w:firstLine="480"/>
        <w:rPr>
          <w:color w:val="auto"/>
          <w:highlight w:val="none"/>
        </w:rPr>
      </w:pPr>
      <w:bookmarkStart w:id="872" w:name="_Toc294688711"/>
      <w:bookmarkStart w:id="873" w:name="_Toc316462354"/>
      <w:bookmarkStart w:id="874" w:name="_Toc182759327"/>
      <w:bookmarkStart w:id="875" w:name="_Toc211218954"/>
      <w:bookmarkStart w:id="876" w:name="_Toc439161746"/>
      <w:bookmarkStart w:id="877" w:name="_Toc294701519"/>
      <w:bookmarkStart w:id="878" w:name="_Toc287367101"/>
      <w:bookmarkStart w:id="879" w:name="_Toc16460"/>
      <w:bookmarkStart w:id="880" w:name="_Toc295978802"/>
      <w:bookmarkStart w:id="881" w:name="_Toc182629023"/>
      <w:r>
        <w:rPr>
          <w:rFonts w:hint="eastAsia"/>
          <w:color w:val="auto"/>
          <w:highlight w:val="none"/>
        </w:rPr>
        <w:t>一、本章所制投标文件格式，除格式中明确将该格式作为实质性要求的，一律不具有强制性。</w:t>
      </w:r>
    </w:p>
    <w:p>
      <w:pPr>
        <w:pStyle w:val="52"/>
        <w:spacing w:line="520" w:lineRule="exact"/>
        <w:ind w:firstLine="480"/>
        <w:rPr>
          <w:color w:val="auto"/>
          <w:highlight w:val="none"/>
        </w:rPr>
      </w:pPr>
      <w:r>
        <w:rPr>
          <w:rFonts w:hint="eastAsia"/>
          <w:color w:val="auto"/>
          <w:highlight w:val="none"/>
        </w:rPr>
        <w:t>二、本章所制投标文件格式有关表格中的备注栏，由投标人根据自身投标情况作解释性说明，不作为必填项。</w:t>
      </w:r>
    </w:p>
    <w:p>
      <w:pPr>
        <w:pStyle w:val="52"/>
        <w:spacing w:line="520" w:lineRule="exact"/>
        <w:ind w:firstLine="480"/>
        <w:rPr>
          <w:color w:val="auto"/>
          <w:highlight w:val="none"/>
        </w:rPr>
      </w:pPr>
      <w:r>
        <w:rPr>
          <w:rFonts w:hint="eastAsia"/>
          <w:color w:val="auto"/>
          <w:highlight w:val="none"/>
        </w:rPr>
        <w:t>三、本章格式中“注”的内容，供应商可自行决定是否保留在投标文件中，未保留的视为供应商默认接受“注”的内容。</w:t>
      </w:r>
    </w:p>
    <w:p>
      <w:pPr>
        <w:pStyle w:val="52"/>
        <w:spacing w:line="520" w:lineRule="exact"/>
        <w:ind w:firstLine="480"/>
        <w:rPr>
          <w:color w:val="auto"/>
          <w:highlight w:val="none"/>
        </w:rPr>
      </w:pPr>
      <w:r>
        <w:rPr>
          <w:rFonts w:hint="eastAsia"/>
          <w:color w:val="auto"/>
          <w:highlight w:val="none"/>
        </w:rPr>
        <w:t>四、本章所制投标文件格式中需要填写的相关内容事项，可能会与本采购项目无关，在不改变投标文件原义、不影响本项目采购需求的情况下，投标人可以不予填写，但应当注明。</w:t>
      </w:r>
    </w:p>
    <w:p>
      <w:pPr>
        <w:pStyle w:val="44"/>
        <w:rPr>
          <w:color w:val="auto"/>
          <w:highlight w:val="none"/>
        </w:rPr>
      </w:pPr>
      <w:r>
        <w:rPr>
          <w:rFonts w:hint="eastAsia"/>
          <w:color w:val="auto"/>
          <w:highlight w:val="none"/>
        </w:rPr>
        <w:br w:type="page"/>
      </w:r>
    </w:p>
    <w:p>
      <w:pPr>
        <w:pStyle w:val="35"/>
        <w:rPr>
          <w:color w:val="auto"/>
          <w:highlight w:val="none"/>
        </w:rPr>
      </w:pPr>
      <w:r>
        <w:rPr>
          <w:rFonts w:hint="eastAsia"/>
          <w:color w:val="auto"/>
          <w:highlight w:val="none"/>
        </w:rPr>
        <w:t>附件：密封袋的格式</w:t>
      </w:r>
    </w:p>
    <w:p>
      <w:pPr>
        <w:pStyle w:val="35"/>
        <w:rPr>
          <w:color w:val="auto"/>
          <w:highlight w:val="none"/>
        </w:rPr>
      </w:pPr>
    </w:p>
    <w:p>
      <w:pPr>
        <w:pStyle w:val="35"/>
        <w:rPr>
          <w:color w:val="auto"/>
          <w:highlight w:val="none"/>
        </w:rPr>
      </w:pPr>
    </w:p>
    <w:p>
      <w:pPr>
        <w:pStyle w:val="35"/>
        <w:rPr>
          <w:color w:val="auto"/>
          <w:highlight w:val="none"/>
        </w:rPr>
      </w:pPr>
    </w:p>
    <w:tbl>
      <w:tblPr>
        <w:tblStyle w:val="23"/>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tcPr>
          <w:p>
            <w:pPr>
              <w:pStyle w:val="35"/>
              <w:rPr>
                <w:color w:val="auto"/>
                <w:highlight w:val="none"/>
              </w:rPr>
            </w:pPr>
          </w:p>
          <w:p>
            <w:pPr>
              <w:pStyle w:val="35"/>
              <w:ind w:left="2400" w:leftChars="1000"/>
              <w:rPr>
                <w:color w:val="auto"/>
                <w:highlight w:val="none"/>
              </w:rPr>
            </w:pPr>
            <w:r>
              <w:rPr>
                <w:rFonts w:hint="eastAsia"/>
                <w:color w:val="auto"/>
                <w:highlight w:val="none"/>
              </w:rPr>
              <w:t>项目编号：</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35"/>
              <w:ind w:left="2400" w:leftChars="1000"/>
              <w:rPr>
                <w:color w:val="auto"/>
                <w:highlight w:val="none"/>
              </w:rPr>
            </w:pPr>
            <w:r>
              <w:rPr>
                <w:rFonts w:hint="eastAsia"/>
                <w:color w:val="auto"/>
                <w:highlight w:val="none"/>
              </w:rPr>
              <w:t>项目名称：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35"/>
              <w:rPr>
                <w:color w:val="auto"/>
                <w:highlight w:val="none"/>
              </w:rPr>
            </w:pPr>
          </w:p>
          <w:p>
            <w:pPr>
              <w:pStyle w:val="35"/>
              <w:jc w:val="center"/>
              <w:rPr>
                <w:b/>
                <w:bCs/>
                <w:color w:val="auto"/>
                <w:sz w:val="32"/>
                <w:szCs w:val="32"/>
                <w:highlight w:val="none"/>
              </w:rPr>
            </w:pPr>
            <w:r>
              <w:rPr>
                <w:rFonts w:hint="eastAsia"/>
                <w:b/>
                <w:bCs/>
                <w:color w:val="auto"/>
                <w:sz w:val="32"/>
                <w:szCs w:val="32"/>
                <w:highlight w:val="none"/>
              </w:rPr>
              <w:t>资格、资质性及其他类似效力投标文件/其他投标文件</w:t>
            </w:r>
          </w:p>
          <w:p>
            <w:pPr>
              <w:pStyle w:val="35"/>
              <w:jc w:val="center"/>
              <w:rPr>
                <w:rFonts w:hint="default" w:eastAsia="宋体"/>
                <w:b/>
                <w:bCs/>
                <w:color w:val="auto"/>
                <w:sz w:val="32"/>
                <w:szCs w:val="32"/>
                <w:highlight w:val="none"/>
                <w:lang w:val="en-US" w:eastAsia="zh-CN"/>
              </w:rPr>
            </w:pPr>
            <w:r>
              <w:rPr>
                <w:rFonts w:hint="eastAsia"/>
                <w:b/>
                <w:bCs/>
                <w:color w:val="auto"/>
                <w:sz w:val="32"/>
                <w:szCs w:val="32"/>
                <w:highlight w:val="none"/>
              </w:rPr>
              <w:t>/开标一览表</w:t>
            </w:r>
            <w:r>
              <w:rPr>
                <w:rFonts w:hint="eastAsia"/>
                <w:b/>
                <w:bCs/>
                <w:color w:val="auto"/>
                <w:sz w:val="32"/>
                <w:szCs w:val="32"/>
                <w:highlight w:val="none"/>
                <w:lang w:val="en-US" w:eastAsia="zh-CN"/>
              </w:rPr>
              <w:t>/电子文档</w:t>
            </w:r>
          </w:p>
          <w:p>
            <w:pPr>
              <w:pStyle w:val="35"/>
              <w:rPr>
                <w:color w:val="auto"/>
                <w:highlight w:val="none"/>
              </w:rPr>
            </w:pPr>
          </w:p>
          <w:p>
            <w:pPr>
              <w:pStyle w:val="35"/>
              <w:ind w:left="2400" w:leftChars="1000"/>
              <w:rPr>
                <w:color w:val="auto"/>
                <w:highlight w:val="none"/>
              </w:rPr>
            </w:pP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35"/>
              <w:ind w:left="2400" w:leftChars="1000"/>
              <w:rPr>
                <w:color w:val="auto"/>
                <w:highlight w:val="none"/>
              </w:rPr>
            </w:pPr>
            <w:r>
              <w:rPr>
                <w:rFonts w:hint="eastAsia"/>
                <w:color w:val="auto"/>
                <w:highlight w:val="none"/>
              </w:rPr>
              <w:t>投标日期：</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35"/>
              <w:rPr>
                <w:color w:val="auto"/>
                <w:highlight w:val="none"/>
              </w:rPr>
            </w:pPr>
          </w:p>
        </w:tc>
      </w:tr>
    </w:tbl>
    <w:p>
      <w:pPr>
        <w:pStyle w:val="35"/>
        <w:rPr>
          <w:color w:val="auto"/>
          <w:highlight w:val="none"/>
        </w:rPr>
      </w:pPr>
      <w:bookmarkStart w:id="882" w:name="_Toc11581"/>
      <w:bookmarkStart w:id="883" w:name="_Toc6994"/>
      <w:r>
        <w:rPr>
          <w:rFonts w:hint="eastAsia"/>
          <w:color w:val="auto"/>
          <w:highlight w:val="none"/>
        </w:rPr>
        <w:br w:type="page"/>
      </w:r>
    </w:p>
    <w:p>
      <w:pPr>
        <w:pStyle w:val="35"/>
        <w:rPr>
          <w:color w:val="auto"/>
          <w:highlight w:val="none"/>
        </w:rPr>
      </w:pPr>
      <w:r>
        <w:rPr>
          <w:rFonts w:hint="eastAsia"/>
          <w:color w:val="auto"/>
          <w:highlight w:val="none"/>
        </w:rPr>
        <w:t>投标文件封面格式</w:t>
      </w:r>
      <w:bookmarkEnd w:id="872"/>
      <w:bookmarkEnd w:id="873"/>
      <w:bookmarkEnd w:id="874"/>
      <w:bookmarkEnd w:id="875"/>
      <w:bookmarkEnd w:id="876"/>
      <w:bookmarkEnd w:id="877"/>
      <w:bookmarkEnd w:id="878"/>
      <w:bookmarkEnd w:id="879"/>
      <w:bookmarkEnd w:id="880"/>
      <w:bookmarkEnd w:id="881"/>
      <w:bookmarkEnd w:id="882"/>
      <w:bookmarkEnd w:id="883"/>
    </w:p>
    <w:p>
      <w:pPr>
        <w:pStyle w:val="35"/>
        <w:rPr>
          <w:color w:val="auto"/>
          <w:highlight w:val="none"/>
        </w:rPr>
      </w:pPr>
      <w:r>
        <w:rPr>
          <w:rFonts w:hint="eastAsia"/>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4055745</wp:posOffset>
                </wp:positionH>
                <wp:positionV relativeFrom="paragraph">
                  <wp:posOffset>169545</wp:posOffset>
                </wp:positionV>
                <wp:extent cx="1137285" cy="331470"/>
                <wp:effectExtent l="4445" t="4445" r="16510" b="14605"/>
                <wp:wrapNone/>
                <wp:docPr id="5" name="矩形 5"/>
                <wp:cNvGraphicFramePr/>
                <a:graphic xmlns:a="http://schemas.openxmlformats.org/drawingml/2006/main">
                  <a:graphicData uri="http://schemas.microsoft.com/office/word/2010/wordprocessingShape">
                    <wps:wsp>
                      <wps:cNvSpPr/>
                      <wps:spPr>
                        <a:xfrm>
                          <a:off x="0" y="0"/>
                          <a:ext cx="11372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宋体"/>
                                <w:b/>
                                <w:sz w:val="28"/>
                                <w:szCs w:val="28"/>
                              </w:rPr>
                            </w:pPr>
                            <w:r>
                              <w:rPr>
                                <w:rFonts w:hint="eastAsia" w:cs="宋体"/>
                                <w:b/>
                                <w:sz w:val="28"/>
                                <w:szCs w:val="28"/>
                              </w:rPr>
                              <w:t>正本或副本</w:t>
                            </w:r>
                          </w:p>
                        </w:txbxContent>
                      </wps:txbx>
                      <wps:bodyPr upright="1">
                        <a:spAutoFit/>
                      </wps:bodyPr>
                    </wps:wsp>
                  </a:graphicData>
                </a:graphic>
              </wp:anchor>
            </w:drawing>
          </mc:Choice>
          <mc:Fallback>
            <w:pict>
              <v:rect id="_x0000_s1026" o:spid="_x0000_s1026" o:spt="1" style="position:absolute;left:0pt;margin-left:319.35pt;margin-top:13.35pt;height:26.1pt;width:89.55pt;z-index:251660288;mso-width-relative:page;mso-height-relative:page;" fillcolor="#FFFFFF" filled="t" stroked="t" coordsize="21600,21600" o:gfxdata="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aPlZ1wAAAAkBAAAPAAAAAAAAAAEAIAAA&#10;ACIAAABkcnMvZG93bnJldi54bWxQSwECFAAUAAAACACHTuJAYguHLg0CAABDBAAADgAAAAAAAAAB&#10;ACAAAAAmAQAAZHJzL2Uyb0RvYy54bWxQSwUGAAAAAAYABgBZAQAApQUAAAAA&#10;">
                <v:fill on="t" focussize="0,0"/>
                <v:stroke color="#000000" joinstyle="miter"/>
                <v:imagedata o:title=""/>
                <o:lock v:ext="edit" aspectratio="f"/>
                <v:textbox style="mso-fit-shape-to-text:t;">
                  <w:txbxContent>
                    <w:p>
                      <w:pPr>
                        <w:rPr>
                          <w:rFonts w:cs="宋体"/>
                          <w:b/>
                          <w:sz w:val="28"/>
                          <w:szCs w:val="28"/>
                        </w:rPr>
                      </w:pPr>
                      <w:r>
                        <w:rPr>
                          <w:rFonts w:hint="eastAsia" w:cs="宋体"/>
                          <w:b/>
                          <w:sz w:val="28"/>
                          <w:szCs w:val="28"/>
                        </w:rPr>
                        <w:t>正本或副本</w:t>
                      </w:r>
                    </w:p>
                  </w:txbxContent>
                </v:textbox>
              </v:rect>
            </w:pict>
          </mc:Fallback>
        </mc:AlternateContent>
      </w:r>
    </w:p>
    <w:p>
      <w:pPr>
        <w:pStyle w:val="35"/>
        <w:rPr>
          <w:color w:val="auto"/>
          <w:highlight w:val="none"/>
        </w:rPr>
      </w:pPr>
    </w:p>
    <w:p>
      <w:pPr>
        <w:pStyle w:val="35"/>
        <w:rPr>
          <w:color w:val="auto"/>
          <w:highlight w:val="none"/>
        </w:rPr>
      </w:pPr>
    </w:p>
    <w:p>
      <w:pPr>
        <w:pStyle w:val="35"/>
        <w:rPr>
          <w:color w:val="auto"/>
          <w:highlight w:val="none"/>
        </w:rPr>
      </w:pPr>
    </w:p>
    <w:p>
      <w:pPr>
        <w:pStyle w:val="35"/>
        <w:spacing w:line="360" w:lineRule="auto"/>
        <w:jc w:val="center"/>
        <w:rPr>
          <w:b/>
          <w:bCs/>
          <w:color w:val="auto"/>
          <w:sz w:val="48"/>
          <w:szCs w:val="48"/>
          <w:highlight w:val="none"/>
        </w:rPr>
      </w:pPr>
    </w:p>
    <w:p>
      <w:pPr>
        <w:pStyle w:val="35"/>
        <w:spacing w:line="360" w:lineRule="auto"/>
        <w:jc w:val="center"/>
        <w:rPr>
          <w:b/>
          <w:bCs/>
          <w:color w:val="auto"/>
          <w:sz w:val="48"/>
          <w:szCs w:val="48"/>
          <w:highlight w:val="none"/>
        </w:rPr>
      </w:pPr>
      <w:r>
        <w:rPr>
          <w:rFonts w:hint="eastAsia"/>
          <w:b/>
          <w:bCs/>
          <w:color w:val="auto"/>
          <w:sz w:val="48"/>
          <w:szCs w:val="48"/>
          <w:highlight w:val="none"/>
        </w:rPr>
        <w:t>资格、资质性及其他类似效力投标文件</w:t>
      </w:r>
    </w:p>
    <w:p>
      <w:pPr>
        <w:pStyle w:val="35"/>
        <w:spacing w:line="360" w:lineRule="auto"/>
        <w:jc w:val="center"/>
        <w:rPr>
          <w:b/>
          <w:bCs/>
          <w:color w:val="auto"/>
          <w:sz w:val="48"/>
          <w:szCs w:val="48"/>
          <w:highlight w:val="none"/>
        </w:rPr>
      </w:pPr>
      <w:r>
        <w:rPr>
          <w:rFonts w:hint="eastAsia"/>
          <w:b/>
          <w:bCs/>
          <w:color w:val="auto"/>
          <w:sz w:val="48"/>
          <w:szCs w:val="48"/>
          <w:highlight w:val="none"/>
        </w:rPr>
        <w:t>/其他投标文件</w:t>
      </w:r>
    </w:p>
    <w:p>
      <w:pPr>
        <w:pStyle w:val="35"/>
        <w:rPr>
          <w:color w:val="auto"/>
          <w:highlight w:val="none"/>
        </w:rPr>
      </w:pPr>
    </w:p>
    <w:p>
      <w:pPr>
        <w:pStyle w:val="35"/>
        <w:spacing w:line="480" w:lineRule="auto"/>
        <w:ind w:left="2400" w:leftChars="1000"/>
        <w:rPr>
          <w:b/>
          <w:bCs/>
          <w:color w:val="auto"/>
          <w:sz w:val="32"/>
          <w:szCs w:val="32"/>
          <w:highlight w:val="none"/>
        </w:rPr>
      </w:pPr>
    </w:p>
    <w:p>
      <w:pPr>
        <w:pStyle w:val="35"/>
        <w:spacing w:line="480" w:lineRule="auto"/>
        <w:ind w:left="2400" w:leftChars="1000"/>
        <w:rPr>
          <w:b/>
          <w:bCs/>
          <w:color w:val="auto"/>
          <w:sz w:val="32"/>
          <w:szCs w:val="32"/>
          <w:highlight w:val="none"/>
        </w:rPr>
      </w:pPr>
    </w:p>
    <w:p>
      <w:pPr>
        <w:pStyle w:val="35"/>
        <w:spacing w:line="480" w:lineRule="auto"/>
        <w:ind w:left="2400" w:leftChars="1000"/>
        <w:rPr>
          <w:b/>
          <w:bCs/>
          <w:color w:val="auto"/>
          <w:sz w:val="32"/>
          <w:szCs w:val="32"/>
          <w:highlight w:val="none"/>
        </w:rPr>
      </w:pPr>
    </w:p>
    <w:p>
      <w:pPr>
        <w:pStyle w:val="35"/>
        <w:spacing w:line="480" w:lineRule="auto"/>
        <w:ind w:left="2400" w:leftChars="1000"/>
        <w:rPr>
          <w:b/>
          <w:bCs/>
          <w:color w:val="auto"/>
          <w:sz w:val="32"/>
          <w:szCs w:val="32"/>
          <w:highlight w:val="none"/>
        </w:rPr>
      </w:pPr>
    </w:p>
    <w:p>
      <w:pPr>
        <w:pStyle w:val="35"/>
        <w:spacing w:line="480" w:lineRule="auto"/>
        <w:ind w:left="2400" w:leftChars="1000"/>
        <w:rPr>
          <w:b/>
          <w:bCs/>
          <w:color w:val="auto"/>
          <w:sz w:val="32"/>
          <w:szCs w:val="32"/>
          <w:highlight w:val="none"/>
        </w:rPr>
      </w:pPr>
      <w:r>
        <w:rPr>
          <w:rFonts w:hint="eastAsia"/>
          <w:b/>
          <w:bCs/>
          <w:color w:val="auto"/>
          <w:sz w:val="32"/>
          <w:szCs w:val="32"/>
          <w:highlight w:val="none"/>
        </w:rPr>
        <w:t>项目名称：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35"/>
        <w:spacing w:line="480" w:lineRule="auto"/>
        <w:ind w:left="2400" w:leftChars="1000"/>
        <w:rPr>
          <w:b/>
          <w:bCs/>
          <w:color w:val="auto"/>
          <w:sz w:val="32"/>
          <w:szCs w:val="32"/>
          <w:highlight w:val="none"/>
        </w:rPr>
      </w:pPr>
      <w:r>
        <w:rPr>
          <w:rFonts w:hint="eastAsia"/>
          <w:b/>
          <w:bCs/>
          <w:color w:val="auto"/>
          <w:sz w:val="32"/>
          <w:szCs w:val="32"/>
          <w:highlight w:val="none"/>
        </w:rPr>
        <w:t>项目编号：</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35"/>
        <w:spacing w:line="480" w:lineRule="auto"/>
        <w:ind w:left="2400" w:leftChars="1000"/>
        <w:rPr>
          <w:b/>
          <w:bCs/>
          <w:color w:val="auto"/>
          <w:sz w:val="32"/>
          <w:szCs w:val="32"/>
          <w:highlight w:val="none"/>
        </w:rPr>
      </w:pPr>
      <w:r>
        <w:rPr>
          <w:rFonts w:hint="eastAsia"/>
          <w:b/>
          <w:bCs/>
          <w:color w:val="auto"/>
          <w:sz w:val="32"/>
          <w:szCs w:val="32"/>
          <w:highlight w:val="none"/>
        </w:rPr>
        <w:t>投标人名称：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35"/>
        <w:spacing w:line="480" w:lineRule="auto"/>
        <w:ind w:left="2400" w:leftChars="1000"/>
        <w:rPr>
          <w:b/>
          <w:bCs/>
          <w:color w:val="auto"/>
          <w:sz w:val="32"/>
          <w:szCs w:val="32"/>
          <w:highlight w:val="none"/>
        </w:rPr>
      </w:pPr>
      <w:r>
        <w:rPr>
          <w:rFonts w:hint="eastAsia"/>
          <w:b/>
          <w:bCs/>
          <w:color w:val="auto"/>
          <w:sz w:val="32"/>
          <w:szCs w:val="32"/>
          <w:highlight w:val="none"/>
        </w:rPr>
        <w:t>投标日期：</w:t>
      </w:r>
      <w:r>
        <w:rPr>
          <w:rFonts w:hint="eastAsia"/>
          <w:b/>
          <w:bCs/>
          <w:color w:val="auto"/>
          <w:sz w:val="32"/>
          <w:szCs w:val="32"/>
          <w:highlight w:val="none"/>
          <w:u w:val="single"/>
        </w:rPr>
        <w:t xml:space="preserve">      </w:t>
      </w:r>
      <w:r>
        <w:rPr>
          <w:rFonts w:hint="eastAsia"/>
          <w:b/>
          <w:bCs/>
          <w:color w:val="auto"/>
          <w:sz w:val="32"/>
          <w:szCs w:val="32"/>
          <w:highlight w:val="none"/>
        </w:rPr>
        <w:t>年</w:t>
      </w:r>
      <w:r>
        <w:rPr>
          <w:rFonts w:hint="eastAsia"/>
          <w:b/>
          <w:bCs/>
          <w:color w:val="auto"/>
          <w:sz w:val="32"/>
          <w:szCs w:val="32"/>
          <w:highlight w:val="none"/>
          <w:u w:val="single"/>
        </w:rPr>
        <w:t xml:space="preserve">    </w:t>
      </w:r>
      <w:r>
        <w:rPr>
          <w:rFonts w:hint="eastAsia"/>
          <w:b/>
          <w:bCs/>
          <w:color w:val="auto"/>
          <w:sz w:val="32"/>
          <w:szCs w:val="32"/>
          <w:highlight w:val="none"/>
        </w:rPr>
        <w:t>月</w:t>
      </w:r>
      <w:r>
        <w:rPr>
          <w:rFonts w:hint="eastAsia"/>
          <w:b/>
          <w:bCs/>
          <w:color w:val="auto"/>
          <w:sz w:val="32"/>
          <w:szCs w:val="32"/>
          <w:highlight w:val="none"/>
          <w:u w:val="single"/>
        </w:rPr>
        <w:t xml:space="preserve">    </w:t>
      </w:r>
      <w:r>
        <w:rPr>
          <w:rFonts w:hint="eastAsia"/>
          <w:b/>
          <w:bCs/>
          <w:color w:val="auto"/>
          <w:sz w:val="32"/>
          <w:szCs w:val="32"/>
          <w:highlight w:val="none"/>
        </w:rPr>
        <w:t>日</w:t>
      </w:r>
    </w:p>
    <w:p>
      <w:pPr>
        <w:pStyle w:val="44"/>
        <w:rPr>
          <w:color w:val="auto"/>
          <w:highlight w:val="none"/>
        </w:rPr>
      </w:pPr>
      <w:bookmarkStart w:id="884" w:name="_Toc31011"/>
      <w:bookmarkStart w:id="885" w:name="_Toc5565"/>
      <w:bookmarkStart w:id="886" w:name="_Toc11556"/>
      <w:bookmarkStart w:id="887" w:name="_Toc5306"/>
      <w:r>
        <w:rPr>
          <w:rFonts w:hint="eastAsia"/>
          <w:color w:val="auto"/>
          <w:highlight w:val="none"/>
        </w:rPr>
        <w:br w:type="page"/>
      </w:r>
    </w:p>
    <w:bookmarkEnd w:id="884"/>
    <w:bookmarkEnd w:id="885"/>
    <w:bookmarkEnd w:id="886"/>
    <w:bookmarkEnd w:id="887"/>
    <w:p>
      <w:pPr>
        <w:pStyle w:val="44"/>
        <w:rPr>
          <w:color w:val="auto"/>
          <w:highlight w:val="none"/>
        </w:rPr>
      </w:pPr>
      <w:bookmarkStart w:id="888" w:name="_Toc15611"/>
    </w:p>
    <w:p>
      <w:pPr>
        <w:pStyle w:val="44"/>
        <w:rPr>
          <w:color w:val="auto"/>
          <w:highlight w:val="none"/>
        </w:rPr>
      </w:pPr>
    </w:p>
    <w:p>
      <w:pPr>
        <w:pStyle w:val="44"/>
        <w:rPr>
          <w:color w:val="auto"/>
          <w:highlight w:val="none"/>
        </w:rPr>
      </w:pPr>
    </w:p>
    <w:p>
      <w:pPr>
        <w:pStyle w:val="44"/>
        <w:rPr>
          <w:color w:val="auto"/>
          <w:highlight w:val="none"/>
        </w:rPr>
      </w:pPr>
    </w:p>
    <w:p>
      <w:pPr>
        <w:pStyle w:val="44"/>
        <w:rPr>
          <w:color w:val="auto"/>
          <w:highlight w:val="none"/>
        </w:rPr>
      </w:pPr>
    </w:p>
    <w:p>
      <w:pPr>
        <w:pStyle w:val="44"/>
        <w:rPr>
          <w:color w:val="auto"/>
          <w:highlight w:val="none"/>
        </w:rPr>
      </w:pPr>
    </w:p>
    <w:p>
      <w:pPr>
        <w:pStyle w:val="44"/>
        <w:rPr>
          <w:color w:val="auto"/>
          <w:highlight w:val="none"/>
        </w:rPr>
      </w:pPr>
    </w:p>
    <w:p>
      <w:pPr>
        <w:pStyle w:val="44"/>
        <w:rPr>
          <w:color w:val="auto"/>
          <w:highlight w:val="none"/>
        </w:rPr>
      </w:pPr>
      <w:bookmarkStart w:id="889" w:name="_Toc24630"/>
    </w:p>
    <w:p>
      <w:pPr>
        <w:pStyle w:val="44"/>
        <w:rPr>
          <w:color w:val="auto"/>
          <w:highlight w:val="none"/>
        </w:rPr>
      </w:pPr>
    </w:p>
    <w:p>
      <w:pPr>
        <w:pStyle w:val="44"/>
        <w:rPr>
          <w:color w:val="auto"/>
          <w:highlight w:val="none"/>
        </w:rPr>
      </w:pPr>
    </w:p>
    <w:p>
      <w:pPr>
        <w:pStyle w:val="44"/>
        <w:rPr>
          <w:color w:val="auto"/>
          <w:highlight w:val="none"/>
        </w:rPr>
      </w:pPr>
    </w:p>
    <w:p>
      <w:pPr>
        <w:pStyle w:val="44"/>
        <w:rPr>
          <w:color w:val="auto"/>
          <w:highlight w:val="none"/>
        </w:rPr>
      </w:pPr>
    </w:p>
    <w:p>
      <w:pPr>
        <w:pStyle w:val="36"/>
        <w:numPr>
          <w:ilvl w:val="1"/>
          <w:numId w:val="0"/>
        </w:numPr>
        <w:spacing w:before="480" w:beforeLines="200"/>
        <w:jc w:val="center"/>
        <w:rPr>
          <w:color w:val="auto"/>
          <w:sz w:val="32"/>
          <w:szCs w:val="32"/>
          <w:highlight w:val="none"/>
        </w:rPr>
      </w:pPr>
      <w:bookmarkStart w:id="890" w:name="_Toc4817"/>
      <w:bookmarkStart w:id="891" w:name="_Toc8059"/>
      <w:r>
        <w:rPr>
          <w:rFonts w:hint="eastAsia"/>
          <w:color w:val="auto"/>
          <w:sz w:val="32"/>
          <w:szCs w:val="32"/>
          <w:highlight w:val="none"/>
        </w:rPr>
        <w:t>第一部分 资格、资质性及其他类似效力投标文件(格式)</w:t>
      </w:r>
      <w:bookmarkEnd w:id="888"/>
      <w:bookmarkEnd w:id="889"/>
      <w:bookmarkEnd w:id="890"/>
      <w:bookmarkEnd w:id="891"/>
      <w:bookmarkStart w:id="892" w:name="_Toc16168"/>
      <w:bookmarkStart w:id="893" w:name="_Toc23537"/>
    </w:p>
    <w:p>
      <w:pPr>
        <w:pStyle w:val="44"/>
        <w:rPr>
          <w:color w:val="auto"/>
          <w:highlight w:val="none"/>
        </w:rPr>
      </w:pPr>
      <w:r>
        <w:rPr>
          <w:rFonts w:hint="eastAsia"/>
          <w:color w:val="auto"/>
          <w:highlight w:val="none"/>
        </w:rPr>
        <w:br w:type="page"/>
      </w:r>
      <w:bookmarkEnd w:id="892"/>
      <w:bookmarkEnd w:id="893"/>
      <w:bookmarkStart w:id="894" w:name="_Toc26837"/>
      <w:bookmarkStart w:id="895" w:name="_Toc4996"/>
    </w:p>
    <w:p>
      <w:pPr>
        <w:pStyle w:val="46"/>
        <w:numPr>
          <w:ilvl w:val="0"/>
          <w:numId w:val="23"/>
        </w:numPr>
        <w:spacing w:before="120" w:after="120"/>
        <w:ind w:firstLine="0"/>
        <w:rPr>
          <w:color w:val="auto"/>
          <w:highlight w:val="none"/>
        </w:rPr>
      </w:pPr>
      <w:bookmarkStart w:id="896" w:name="_Toc10397"/>
      <w:bookmarkStart w:id="897" w:name="_Toc16474"/>
      <w:r>
        <w:rPr>
          <w:rFonts w:hint="eastAsia"/>
          <w:color w:val="auto"/>
          <w:highlight w:val="none"/>
        </w:rPr>
        <w:t>法定代表人/单位负责人授权书</w:t>
      </w:r>
      <w:bookmarkEnd w:id="894"/>
      <w:bookmarkEnd w:id="895"/>
      <w:bookmarkEnd w:id="896"/>
      <w:bookmarkEnd w:id="897"/>
    </w:p>
    <w:p>
      <w:pPr>
        <w:pStyle w:val="44"/>
        <w:spacing w:line="520" w:lineRule="exact"/>
        <w:rPr>
          <w:color w:val="auto"/>
          <w:highlight w:val="none"/>
        </w:rPr>
      </w:pP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(采购代理机构名称)：</w:t>
      </w:r>
    </w:p>
    <w:p>
      <w:pPr>
        <w:pStyle w:val="48"/>
        <w:spacing w:line="520" w:lineRule="exact"/>
        <w:rPr>
          <w:color w:val="auto"/>
          <w:highlight w:val="none"/>
        </w:rPr>
      </w:pPr>
      <w:r>
        <w:rPr>
          <w:rFonts w:hint="eastAsia"/>
          <w:color w:val="auto"/>
          <w:highlight w:val="none"/>
        </w:rPr>
        <w:t>本授权声明：</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(法定代表人/单位负责人姓名、职务)授权</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(被授权人姓名、职务、身份证号码)为我方参加“</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(项目名称)(项目编号：</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)”投标活动的合法代表，以我方名义全权处理该项目有关投标、签订合同以及执行合同等一切事宜，我单位均予承认，所产生的法律后果均由我单位承担。</w:t>
      </w:r>
    </w:p>
    <w:p>
      <w:pPr>
        <w:pStyle w:val="48"/>
        <w:spacing w:line="520" w:lineRule="exact"/>
        <w:rPr>
          <w:color w:val="auto"/>
          <w:highlight w:val="none"/>
        </w:rPr>
      </w:pPr>
      <w:r>
        <w:rPr>
          <w:rFonts w:hint="eastAsia"/>
          <w:color w:val="auto"/>
          <w:highlight w:val="none"/>
        </w:rPr>
        <w:t>特此声明。</w:t>
      </w:r>
    </w:p>
    <w:p>
      <w:pPr>
        <w:pStyle w:val="44"/>
        <w:spacing w:line="520" w:lineRule="exact"/>
        <w:rPr>
          <w:color w:val="auto"/>
          <w:highlight w:val="none"/>
        </w:rPr>
      </w:pPr>
    </w:p>
    <w:p>
      <w:pPr>
        <w:pStyle w:val="44"/>
        <w:spacing w:line="520" w:lineRule="exact"/>
        <w:rPr>
          <w:color w:val="auto"/>
          <w:highlight w:val="none"/>
        </w:rPr>
      </w:pPr>
    </w:p>
    <w:p>
      <w:pPr>
        <w:pStyle w:val="44"/>
        <w:spacing w:line="520" w:lineRule="exact"/>
        <w:rPr>
          <w:color w:val="auto"/>
          <w:highlight w:val="none"/>
        </w:rPr>
      </w:pPr>
    </w:p>
    <w:p>
      <w:pPr>
        <w:pStyle w:val="44"/>
        <w:spacing w:line="520" w:lineRule="exact"/>
        <w:rPr>
          <w:color w:val="auto"/>
          <w:highlight w:val="none"/>
        </w:rPr>
      </w:pPr>
    </w:p>
    <w:p>
      <w:pPr>
        <w:pStyle w:val="44"/>
        <w:spacing w:line="520" w:lineRule="exact"/>
        <w:rPr>
          <w:color w:val="auto"/>
          <w:highlight w:val="none"/>
        </w:rPr>
      </w:pPr>
    </w:p>
    <w:p>
      <w:pPr>
        <w:pStyle w:val="48"/>
        <w:spacing w:line="520" w:lineRule="exact"/>
        <w:rPr>
          <w:color w:val="auto"/>
          <w:highlight w:val="none"/>
        </w:rPr>
      </w:pPr>
      <w:r>
        <w:rPr>
          <w:rFonts w:hint="eastAsia"/>
          <w:color w:val="auto"/>
          <w:highlight w:val="none"/>
        </w:rPr>
        <w:t>法定代表人/单位负责人：</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(签字或盖章)</w:t>
      </w:r>
    </w:p>
    <w:p>
      <w:pPr>
        <w:pStyle w:val="48"/>
        <w:spacing w:line="520" w:lineRule="exact"/>
        <w:rPr>
          <w:color w:val="auto"/>
          <w:highlight w:val="none"/>
        </w:rPr>
      </w:pPr>
      <w:r>
        <w:rPr>
          <w:rFonts w:hint="eastAsia"/>
          <w:color w:val="auto"/>
          <w:highlight w:val="none"/>
        </w:rPr>
        <w:t>授权代表：</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(签字或盖章)</w:t>
      </w:r>
    </w:p>
    <w:p>
      <w:pPr>
        <w:pStyle w:val="48"/>
        <w:spacing w:line="520" w:lineRule="exact"/>
        <w:rPr>
          <w:color w:val="auto"/>
          <w:highlight w:val="none"/>
        </w:rPr>
      </w:pP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(盖章)</w:t>
      </w:r>
    </w:p>
    <w:p>
      <w:pPr>
        <w:pStyle w:val="48"/>
        <w:spacing w:line="520" w:lineRule="exact"/>
        <w:rPr>
          <w:color w:val="auto"/>
          <w:highlight w:val="none"/>
        </w:rPr>
      </w:pPr>
      <w:r>
        <w:rPr>
          <w:rFonts w:hint="eastAsia"/>
          <w:color w:val="auto"/>
          <w:highlight w:val="none"/>
        </w:rPr>
        <w:t>投标日期：</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44"/>
        <w:spacing w:line="520" w:lineRule="exact"/>
        <w:rPr>
          <w:color w:val="auto"/>
          <w:highlight w:val="none"/>
        </w:rPr>
      </w:pPr>
    </w:p>
    <w:p>
      <w:pPr>
        <w:pStyle w:val="49"/>
        <w:spacing w:line="520" w:lineRule="exact"/>
        <w:ind w:firstLine="482"/>
        <w:rPr>
          <w:color w:val="auto"/>
          <w:highlight w:val="none"/>
        </w:rPr>
      </w:pPr>
      <w:r>
        <w:rPr>
          <w:rFonts w:hint="eastAsia"/>
          <w:color w:val="auto"/>
          <w:highlight w:val="none"/>
        </w:rPr>
        <w:t>注：1.法定代表人/单位负责人不亲自参加投标，而授权代表参加投标的适用。</w:t>
      </w:r>
    </w:p>
    <w:p>
      <w:pPr>
        <w:pStyle w:val="49"/>
        <w:spacing w:line="520" w:lineRule="exact"/>
        <w:ind w:firstLine="482"/>
        <w:rPr>
          <w:color w:val="auto"/>
          <w:highlight w:val="none"/>
        </w:rPr>
      </w:pPr>
      <w:r>
        <w:rPr>
          <w:rFonts w:hint="eastAsia"/>
          <w:color w:val="auto"/>
          <w:highlight w:val="none"/>
        </w:rPr>
        <w:t>2.</w:t>
      </w:r>
      <w:r>
        <w:rPr>
          <w:color w:val="auto"/>
          <w:highlight w:val="none"/>
        </w:rPr>
        <w:t>供应商为法人单位时提供“法定代表人授权书”，供应商为其他组织时提供“负责人授权书”，供应商为自然人时提供“自然人身份证明材料”。</w:t>
      </w:r>
    </w:p>
    <w:p>
      <w:pPr>
        <w:pStyle w:val="49"/>
        <w:spacing w:line="520" w:lineRule="exact"/>
        <w:ind w:firstLine="482"/>
        <w:rPr>
          <w:color w:val="auto"/>
          <w:highlight w:val="none"/>
        </w:rPr>
      </w:pPr>
      <w:r>
        <w:rPr>
          <w:rFonts w:hint="eastAsia"/>
          <w:color w:val="auto"/>
          <w:highlight w:val="none"/>
        </w:rPr>
        <w:t>3.</w:t>
      </w:r>
      <w:r>
        <w:rPr>
          <w:color w:val="auto"/>
          <w:highlight w:val="none"/>
        </w:rPr>
        <w:t>应附法定代表人/单位负责人身份证明材料复印件和授权代表身份证明材料复印件。</w:t>
      </w:r>
    </w:p>
    <w:p>
      <w:pPr>
        <w:pStyle w:val="49"/>
        <w:spacing w:line="520" w:lineRule="exact"/>
        <w:ind w:firstLine="482"/>
        <w:rPr>
          <w:color w:val="auto"/>
          <w:highlight w:val="none"/>
        </w:rPr>
      </w:pPr>
      <w:r>
        <w:rPr>
          <w:rFonts w:hint="eastAsia"/>
          <w:color w:val="auto"/>
          <w:highlight w:val="none"/>
        </w:rPr>
        <w:t>4.</w:t>
      </w:r>
      <w:r>
        <w:rPr>
          <w:color w:val="auto"/>
          <w:highlight w:val="none"/>
        </w:rPr>
        <w:t>身份证明材料包括居民身份证或户口本或军官证或护照等。</w:t>
      </w:r>
    </w:p>
    <w:p>
      <w:pPr>
        <w:pStyle w:val="49"/>
        <w:spacing w:line="520" w:lineRule="exact"/>
        <w:ind w:firstLine="482"/>
        <w:rPr>
          <w:color w:val="auto"/>
          <w:highlight w:val="none"/>
        </w:rPr>
      </w:pPr>
      <w:r>
        <w:rPr>
          <w:rFonts w:hint="eastAsia"/>
          <w:color w:val="auto"/>
          <w:highlight w:val="none"/>
        </w:rPr>
        <w:t>5.</w:t>
      </w:r>
      <w:r>
        <w:rPr>
          <w:color w:val="auto"/>
          <w:highlight w:val="none"/>
        </w:rPr>
        <w:t>身份证明材料应同时提供其在有效期的材料，如居民身份证正、反面复印件</w:t>
      </w:r>
      <w:r>
        <w:rPr>
          <w:rFonts w:hint="eastAsia"/>
          <w:color w:val="auto"/>
          <w:highlight w:val="none"/>
        </w:rPr>
        <w:t>。</w:t>
      </w:r>
    </w:p>
    <w:p>
      <w:pPr>
        <w:pStyle w:val="44"/>
        <w:rPr>
          <w:color w:val="auto"/>
          <w:highlight w:val="none"/>
        </w:rPr>
      </w:pPr>
      <w:r>
        <w:rPr>
          <w:rFonts w:hint="eastAsia"/>
          <w:color w:val="auto"/>
          <w:highlight w:val="none"/>
        </w:rPr>
        <w:br w:type="page"/>
      </w:r>
    </w:p>
    <w:p>
      <w:pPr>
        <w:pStyle w:val="46"/>
        <w:numPr>
          <w:ilvl w:val="0"/>
          <w:numId w:val="24"/>
        </w:numPr>
        <w:spacing w:before="120" w:after="120"/>
        <w:ind w:firstLine="0"/>
        <w:jc w:val="left"/>
        <w:rPr>
          <w:color w:val="auto"/>
          <w:highlight w:val="none"/>
        </w:rPr>
      </w:pPr>
      <w:bookmarkStart w:id="898" w:name="_Toc28846"/>
      <w:bookmarkStart w:id="899" w:name="_Toc9688"/>
      <w:bookmarkStart w:id="900" w:name="_Toc22140"/>
      <w:bookmarkStart w:id="901" w:name="_Toc9243"/>
      <w:bookmarkStart w:id="902" w:name="_Toc14600"/>
      <w:bookmarkStart w:id="903" w:name="_Toc5501"/>
      <w:r>
        <w:rPr>
          <w:rFonts w:hint="eastAsia"/>
          <w:color w:val="auto"/>
          <w:highlight w:val="none"/>
        </w:rPr>
        <w:t>法定代表人/单位负责人证明书</w:t>
      </w:r>
      <w:bookmarkEnd w:id="898"/>
      <w:bookmarkEnd w:id="899"/>
      <w:bookmarkEnd w:id="900"/>
      <w:bookmarkEnd w:id="901"/>
      <w:bookmarkEnd w:id="902"/>
      <w:bookmarkEnd w:id="903"/>
    </w:p>
    <w:p>
      <w:pPr>
        <w:pStyle w:val="48"/>
        <w:spacing w:line="520" w:lineRule="exact"/>
        <w:rPr>
          <w:color w:val="auto"/>
          <w:highlight w:val="none"/>
        </w:rPr>
      </w:pPr>
      <w:r>
        <w:rPr>
          <w:rFonts w:hint="eastAsia"/>
          <w:color w:val="auto"/>
          <w:highlight w:val="none"/>
        </w:rPr>
        <w:t>单位名称：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48"/>
        <w:spacing w:line="520" w:lineRule="exact"/>
        <w:rPr>
          <w:color w:val="auto"/>
          <w:highlight w:val="none"/>
        </w:rPr>
      </w:pPr>
      <w:r>
        <w:rPr>
          <w:rFonts w:hint="eastAsia"/>
          <w:color w:val="auto"/>
          <w:highlight w:val="none"/>
        </w:rPr>
        <w:t>地    址：</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48"/>
        <w:spacing w:line="520" w:lineRule="exact"/>
        <w:rPr>
          <w:color w:val="auto"/>
          <w:highlight w:val="none"/>
        </w:rPr>
      </w:pPr>
      <w:r>
        <w:rPr>
          <w:rFonts w:hint="eastAsia"/>
          <w:color w:val="auto"/>
          <w:highlight w:val="none"/>
        </w:rPr>
        <w:t>姓    名：</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性别：</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年龄：</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职务：</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48"/>
        <w:spacing w:line="520" w:lineRule="exact"/>
        <w:rPr>
          <w:color w:val="auto"/>
          <w:highlight w:val="none"/>
        </w:rPr>
      </w:pPr>
      <w:r>
        <w:rPr>
          <w:rFonts w:hint="eastAsia"/>
          <w:color w:val="auto"/>
          <w:highlight w:val="none"/>
        </w:rPr>
        <w:t>本人系</w:t>
      </w:r>
      <w:r>
        <w:rPr>
          <w:rFonts w:hint="eastAsia"/>
          <w:color w:val="auto"/>
          <w:highlight w:val="none"/>
          <w:u w:val="single"/>
        </w:rPr>
        <w:t xml:space="preserve">                           </w:t>
      </w:r>
      <w:r>
        <w:rPr>
          <w:rFonts w:hint="eastAsia"/>
          <w:color w:val="auto"/>
          <w:highlight w:val="none"/>
        </w:rPr>
        <w:t>(投标人名称)的法定代表人/单位负责人。就参加你单位组织的“</w:t>
      </w:r>
      <w:r>
        <w:rPr>
          <w:rFonts w:hint="eastAsia"/>
          <w:color w:val="auto"/>
          <w:highlight w:val="none"/>
          <w:u w:val="single"/>
        </w:rPr>
        <w:t xml:space="preserve">             </w:t>
      </w:r>
      <w:r>
        <w:rPr>
          <w:rFonts w:hint="eastAsia"/>
          <w:color w:val="auto"/>
          <w:highlight w:val="none"/>
        </w:rPr>
        <w:t>(项目名称)(项目编号：</w:t>
      </w:r>
      <w:r>
        <w:rPr>
          <w:rFonts w:hint="eastAsia"/>
          <w:color w:val="auto"/>
          <w:highlight w:val="none"/>
          <w:u w:val="single"/>
        </w:rPr>
        <w:t xml:space="preserve">         </w:t>
      </w:r>
      <w:r>
        <w:rPr>
          <w:rFonts w:hint="eastAsia"/>
          <w:color w:val="auto"/>
          <w:highlight w:val="none"/>
        </w:rPr>
        <w:t>)”的投标活动、并参与项目的投标、签订合同以及执行合同等一切事宜，我单位均予承认，所产生的法律后果均由我单位承担。</w:t>
      </w:r>
    </w:p>
    <w:p>
      <w:pPr>
        <w:pStyle w:val="48"/>
        <w:spacing w:line="520" w:lineRule="exact"/>
        <w:rPr>
          <w:color w:val="auto"/>
          <w:highlight w:val="none"/>
        </w:rPr>
      </w:pPr>
      <w:r>
        <w:rPr>
          <w:rFonts w:hint="eastAsia"/>
          <w:color w:val="auto"/>
          <w:highlight w:val="none"/>
        </w:rPr>
        <w:t>特此证明。</w:t>
      </w:r>
    </w:p>
    <w:p>
      <w:pPr>
        <w:pStyle w:val="44"/>
        <w:spacing w:line="520" w:lineRule="exact"/>
        <w:rPr>
          <w:color w:val="auto"/>
          <w:highlight w:val="none"/>
        </w:rPr>
      </w:pPr>
    </w:p>
    <w:p>
      <w:pPr>
        <w:pStyle w:val="44"/>
        <w:spacing w:line="520" w:lineRule="exact"/>
        <w:rPr>
          <w:color w:val="auto"/>
          <w:highlight w:val="none"/>
        </w:rPr>
      </w:pPr>
    </w:p>
    <w:p>
      <w:pPr>
        <w:pStyle w:val="44"/>
        <w:spacing w:line="520" w:lineRule="exact"/>
        <w:rPr>
          <w:color w:val="auto"/>
          <w:highlight w:val="none"/>
        </w:rPr>
      </w:pPr>
    </w:p>
    <w:p>
      <w:pPr>
        <w:pStyle w:val="44"/>
        <w:spacing w:line="520" w:lineRule="exact"/>
        <w:rPr>
          <w:color w:val="auto"/>
          <w:highlight w:val="none"/>
        </w:rPr>
      </w:pPr>
    </w:p>
    <w:p>
      <w:pPr>
        <w:pStyle w:val="44"/>
        <w:spacing w:line="520" w:lineRule="exact"/>
        <w:rPr>
          <w:color w:val="auto"/>
          <w:highlight w:val="none"/>
        </w:rPr>
      </w:pPr>
    </w:p>
    <w:p>
      <w:pPr>
        <w:pStyle w:val="48"/>
        <w:spacing w:line="520" w:lineRule="exact"/>
        <w:rPr>
          <w:color w:val="auto"/>
          <w:highlight w:val="none"/>
        </w:rPr>
      </w:pPr>
      <w:r>
        <w:rPr>
          <w:rFonts w:hint="eastAsia"/>
          <w:color w:val="auto"/>
          <w:highlight w:val="none"/>
        </w:rPr>
        <w:t>投标人名称：</w:t>
      </w:r>
      <w:r>
        <w:rPr>
          <w:rFonts w:hint="eastAsia"/>
          <w:color w:val="auto"/>
          <w:highlight w:val="none"/>
          <w:u w:val="single"/>
        </w:rPr>
        <w:t xml:space="preserve">             </w:t>
      </w:r>
      <w:r>
        <w:rPr>
          <w:rFonts w:hint="eastAsia"/>
          <w:color w:val="auto"/>
          <w:highlight w:val="none"/>
        </w:rPr>
        <w:t xml:space="preserve">(盖章) </w:t>
      </w:r>
    </w:p>
    <w:p>
      <w:pPr>
        <w:pStyle w:val="48"/>
        <w:spacing w:line="520" w:lineRule="exact"/>
        <w:rPr>
          <w:color w:val="auto"/>
          <w:highlight w:val="none"/>
        </w:rPr>
      </w:pPr>
      <w:r>
        <w:rPr>
          <w:rFonts w:hint="eastAsia"/>
          <w:color w:val="auto"/>
          <w:highlight w:val="none"/>
        </w:rPr>
        <w:t>法定代表人/单位负责人：</w:t>
      </w:r>
      <w:r>
        <w:rPr>
          <w:rFonts w:hint="eastAsia"/>
          <w:color w:val="auto"/>
          <w:highlight w:val="none"/>
          <w:u w:val="single"/>
        </w:rPr>
        <w:t xml:space="preserve">               </w:t>
      </w:r>
      <w:r>
        <w:rPr>
          <w:rFonts w:hint="eastAsia"/>
          <w:color w:val="auto"/>
          <w:highlight w:val="none"/>
        </w:rPr>
        <w:t>(签字或盖章)</w:t>
      </w:r>
    </w:p>
    <w:p>
      <w:pPr>
        <w:pStyle w:val="48"/>
        <w:spacing w:line="520" w:lineRule="exact"/>
        <w:rPr>
          <w:color w:val="auto"/>
          <w:highlight w:val="none"/>
          <w:u w:val="single"/>
        </w:rPr>
      </w:pPr>
      <w:r>
        <w:rPr>
          <w:rFonts w:hint="eastAsia"/>
          <w:color w:val="auto"/>
          <w:highlight w:val="none"/>
        </w:rPr>
        <w:t>投标日期：</w:t>
      </w:r>
      <w:r>
        <w:rPr>
          <w:rFonts w:hint="eastAsia"/>
          <w:color w:val="auto"/>
          <w:highlight w:val="none"/>
          <w:u w:val="single"/>
        </w:rPr>
        <w:t xml:space="preserve">             </w:t>
      </w:r>
    </w:p>
    <w:p>
      <w:pPr>
        <w:pStyle w:val="48"/>
        <w:spacing w:line="520" w:lineRule="exact"/>
        <w:rPr>
          <w:color w:val="auto"/>
          <w:highlight w:val="none"/>
        </w:rPr>
      </w:pPr>
    </w:p>
    <w:p>
      <w:pPr>
        <w:pStyle w:val="49"/>
        <w:spacing w:line="520" w:lineRule="exact"/>
        <w:ind w:firstLine="482"/>
        <w:rPr>
          <w:color w:val="auto"/>
          <w:highlight w:val="none"/>
        </w:rPr>
      </w:pPr>
      <w:r>
        <w:rPr>
          <w:rFonts w:hint="eastAsia"/>
          <w:color w:val="auto"/>
          <w:highlight w:val="none"/>
        </w:rPr>
        <w:t>注：1.法定代表人</w:t>
      </w:r>
      <w:r>
        <w:rPr>
          <w:color w:val="auto"/>
          <w:highlight w:val="none"/>
        </w:rPr>
        <w:t>/单位负责人</w:t>
      </w:r>
      <w:r>
        <w:rPr>
          <w:rFonts w:hint="eastAsia"/>
          <w:color w:val="auto"/>
          <w:highlight w:val="none"/>
        </w:rPr>
        <w:t>亲自参加投标时适用本证明书。</w:t>
      </w:r>
    </w:p>
    <w:p>
      <w:pPr>
        <w:pStyle w:val="49"/>
        <w:spacing w:line="520" w:lineRule="exact"/>
        <w:ind w:firstLine="482"/>
        <w:rPr>
          <w:color w:val="auto"/>
          <w:highlight w:val="none"/>
        </w:rPr>
      </w:pPr>
      <w:r>
        <w:rPr>
          <w:rFonts w:hint="eastAsia"/>
          <w:color w:val="auto"/>
          <w:highlight w:val="none"/>
        </w:rPr>
        <w:t>2.</w:t>
      </w:r>
      <w:r>
        <w:rPr>
          <w:color w:val="auto"/>
          <w:highlight w:val="none"/>
        </w:rPr>
        <w:t>应附法定代表人/单位负责人身份证明材料复印件。</w:t>
      </w:r>
    </w:p>
    <w:p>
      <w:pPr>
        <w:pStyle w:val="49"/>
        <w:spacing w:line="520" w:lineRule="exact"/>
        <w:ind w:firstLine="482"/>
        <w:rPr>
          <w:color w:val="auto"/>
          <w:highlight w:val="none"/>
        </w:rPr>
      </w:pPr>
      <w:r>
        <w:rPr>
          <w:rFonts w:hint="eastAsia"/>
          <w:color w:val="auto"/>
          <w:highlight w:val="none"/>
        </w:rPr>
        <w:t>3.</w:t>
      </w:r>
      <w:r>
        <w:rPr>
          <w:color w:val="auto"/>
          <w:highlight w:val="none"/>
        </w:rPr>
        <w:t>身份证明材料包括居民身份证或户口本或军官证或护照等。</w:t>
      </w:r>
    </w:p>
    <w:p>
      <w:pPr>
        <w:pStyle w:val="49"/>
        <w:spacing w:line="520" w:lineRule="exact"/>
        <w:ind w:firstLine="482"/>
        <w:rPr>
          <w:color w:val="auto"/>
          <w:highlight w:val="none"/>
        </w:rPr>
      </w:pPr>
      <w:r>
        <w:rPr>
          <w:rFonts w:hint="eastAsia"/>
          <w:color w:val="auto"/>
          <w:highlight w:val="none"/>
        </w:rPr>
        <w:t>4.</w:t>
      </w:r>
      <w:r>
        <w:rPr>
          <w:color w:val="auto"/>
          <w:highlight w:val="none"/>
        </w:rPr>
        <w:t>身份证明材料应同时提供其在有效期的材料，如居民身份证正、反面复印件</w:t>
      </w:r>
      <w:r>
        <w:rPr>
          <w:rFonts w:hint="eastAsia"/>
          <w:color w:val="auto"/>
          <w:highlight w:val="none"/>
        </w:rPr>
        <w:t>。</w:t>
      </w:r>
    </w:p>
    <w:p>
      <w:pPr>
        <w:pStyle w:val="46"/>
        <w:numPr>
          <w:ilvl w:val="0"/>
          <w:numId w:val="24"/>
        </w:numPr>
        <w:spacing w:before="120" w:after="120"/>
        <w:ind w:left="0" w:hanging="9"/>
        <w:rPr>
          <w:color w:val="auto"/>
          <w:highlight w:val="none"/>
        </w:rPr>
      </w:pPr>
      <w:bookmarkStart w:id="904" w:name="_Toc2452"/>
      <w:bookmarkStart w:id="905" w:name="_Toc22152"/>
      <w:bookmarkStart w:id="906" w:name="_Toc28837"/>
      <w:bookmarkStart w:id="907" w:name="_Toc27533"/>
      <w:bookmarkStart w:id="908" w:name="_Toc28397"/>
      <w:bookmarkStart w:id="909" w:name="_Toc3822"/>
      <w:bookmarkStart w:id="910" w:name="_Toc28024"/>
      <w:bookmarkStart w:id="911" w:name="_Toc29937"/>
      <w:bookmarkStart w:id="912" w:name="_Toc14566"/>
      <w:r>
        <w:rPr>
          <w:rFonts w:hint="eastAsia"/>
          <w:color w:val="auto"/>
          <w:highlight w:val="none"/>
        </w:rPr>
        <w:t>具有独立承担民事责任的能力的证明材料</w:t>
      </w:r>
      <w:bookmarkEnd w:id="904"/>
      <w:bookmarkEnd w:id="905"/>
      <w:bookmarkEnd w:id="906"/>
      <w:bookmarkEnd w:id="907"/>
    </w:p>
    <w:p>
      <w:pPr>
        <w:pStyle w:val="48"/>
        <w:spacing w:line="520" w:lineRule="exact"/>
        <w:rPr>
          <w:color w:val="auto"/>
          <w:highlight w:val="none"/>
        </w:rPr>
      </w:pPr>
      <w:r>
        <w:rPr>
          <w:rFonts w:hint="eastAsia"/>
          <w:color w:val="auto"/>
          <w:highlight w:val="none"/>
        </w:rPr>
        <w:t>①投标人若为</w:t>
      </w:r>
      <w:r>
        <w:rPr>
          <w:rFonts w:hint="eastAsia"/>
          <w:b/>
          <w:bCs/>
          <w:color w:val="auto"/>
          <w:highlight w:val="none"/>
        </w:rPr>
        <w:t>企业法人</w:t>
      </w:r>
      <w:r>
        <w:rPr>
          <w:rFonts w:hint="eastAsia"/>
          <w:color w:val="auto"/>
          <w:highlight w:val="none"/>
        </w:rPr>
        <w:t>：提供“营业执照”副本复印件；未换证的提供“营业执照副本、税务登记证副本、组织机构代码证副本”复印件；②若为</w:t>
      </w:r>
      <w:r>
        <w:rPr>
          <w:rFonts w:hint="eastAsia"/>
          <w:b/>
          <w:bCs/>
          <w:color w:val="auto"/>
          <w:highlight w:val="none"/>
        </w:rPr>
        <w:t>事业法人</w:t>
      </w:r>
      <w:r>
        <w:rPr>
          <w:rFonts w:hint="eastAsia"/>
          <w:color w:val="auto"/>
          <w:highlight w:val="none"/>
        </w:rPr>
        <w:t>：提供“统一社会信用代码法人登记证书”复印件；未换证的提交“事业法人登记证书、组织机构代码证”复印件；③若为</w:t>
      </w:r>
      <w:r>
        <w:rPr>
          <w:rFonts w:hint="eastAsia"/>
          <w:b/>
          <w:bCs/>
          <w:color w:val="auto"/>
          <w:highlight w:val="none"/>
        </w:rPr>
        <w:t>其他组织</w:t>
      </w:r>
      <w:r>
        <w:rPr>
          <w:rFonts w:hint="eastAsia"/>
          <w:color w:val="auto"/>
          <w:highlight w:val="none"/>
        </w:rPr>
        <w:t>：提供“对应主管部门颁发的准许执业证明文件或营业执照副本”复印件；④若为</w:t>
      </w:r>
      <w:r>
        <w:rPr>
          <w:rFonts w:hint="eastAsia"/>
          <w:b/>
          <w:bCs/>
          <w:color w:val="auto"/>
          <w:highlight w:val="none"/>
        </w:rPr>
        <w:t>自然人</w:t>
      </w:r>
      <w:r>
        <w:rPr>
          <w:rFonts w:hint="eastAsia"/>
          <w:color w:val="auto"/>
          <w:highlight w:val="none"/>
        </w:rPr>
        <w:t>：提供“身份证明材料”。</w:t>
      </w:r>
    </w:p>
    <w:bookmarkEnd w:id="908"/>
    <w:p>
      <w:pPr>
        <w:pStyle w:val="49"/>
        <w:spacing w:line="520" w:lineRule="exact"/>
        <w:ind w:firstLine="482"/>
        <w:rPr>
          <w:color w:val="auto"/>
          <w:highlight w:val="none"/>
        </w:rPr>
      </w:pPr>
      <w:r>
        <w:rPr>
          <w:rFonts w:hint="eastAsia"/>
          <w:color w:val="auto"/>
          <w:highlight w:val="none"/>
        </w:rPr>
        <w:t>注：1.以上证明材料应满足此条要求①发证机关有年检要求的，应按规定通过年检；②在有效期内；③复印件加盖投标人公章；</w:t>
      </w:r>
    </w:p>
    <w:p>
      <w:pPr>
        <w:pStyle w:val="49"/>
        <w:spacing w:line="520" w:lineRule="exact"/>
        <w:ind w:firstLine="482"/>
        <w:rPr>
          <w:color w:val="auto"/>
          <w:highlight w:val="none"/>
        </w:rPr>
      </w:pPr>
      <w:r>
        <w:rPr>
          <w:rFonts w:hint="eastAsia"/>
          <w:color w:val="auto"/>
          <w:highlight w:val="none"/>
        </w:rPr>
        <w:t>2.</w:t>
      </w:r>
      <w:bookmarkEnd w:id="909"/>
      <w:r>
        <w:rPr>
          <w:rFonts w:hint="eastAsia"/>
          <w:color w:val="auto"/>
          <w:highlight w:val="none"/>
        </w:rPr>
        <w:t>企业若已更换为三证合一的则提供营业执照副本复印件，事业单位提供事业单位法人证书复印件，其他组织提供执业许可证或营业执照等证明文件复印件，自然人提供身份证明均具备此条同等效力；</w:t>
      </w:r>
    </w:p>
    <w:p>
      <w:pPr>
        <w:pStyle w:val="49"/>
        <w:spacing w:line="520" w:lineRule="exact"/>
        <w:ind w:firstLine="482"/>
        <w:rPr>
          <w:color w:val="auto"/>
          <w:highlight w:val="none"/>
        </w:rPr>
      </w:pPr>
      <w:r>
        <w:rPr>
          <w:rFonts w:hint="eastAsia"/>
          <w:color w:val="auto"/>
          <w:highlight w:val="none"/>
        </w:rPr>
        <w:t>3.</w:t>
      </w:r>
      <w:r>
        <w:rPr>
          <w:color w:val="auto"/>
          <w:highlight w:val="none"/>
        </w:rPr>
        <w:t>根据国务院办公厅关于加快推进“多证合一”改革的指导意见</w:t>
      </w:r>
      <w:r>
        <w:rPr>
          <w:rFonts w:hint="eastAsia"/>
          <w:color w:val="auto"/>
          <w:highlight w:val="none"/>
        </w:rPr>
        <w:t>(</w:t>
      </w:r>
      <w:r>
        <w:rPr>
          <w:color w:val="auto"/>
          <w:highlight w:val="none"/>
        </w:rPr>
        <w:t>国办发</w:t>
      </w:r>
      <w:r>
        <w:rPr>
          <w:rFonts w:hint="eastAsia"/>
          <w:color w:val="auto"/>
          <w:highlight w:val="none"/>
        </w:rPr>
        <w:t>〔</w:t>
      </w:r>
      <w:r>
        <w:rPr>
          <w:color w:val="auto"/>
          <w:highlight w:val="none"/>
        </w:rPr>
        <w:t>2017</w:t>
      </w:r>
      <w:r>
        <w:rPr>
          <w:rFonts w:hint="eastAsia"/>
          <w:color w:val="auto"/>
          <w:highlight w:val="none"/>
        </w:rPr>
        <w:t>〕</w:t>
      </w:r>
      <w:r>
        <w:rPr>
          <w:color w:val="auto"/>
          <w:highlight w:val="none"/>
        </w:rPr>
        <w:t>41号</w:t>
      </w:r>
      <w:r>
        <w:rPr>
          <w:rFonts w:hint="eastAsia"/>
          <w:color w:val="auto"/>
          <w:highlight w:val="none"/>
        </w:rPr>
        <w:t>)</w:t>
      </w:r>
      <w:r>
        <w:rPr>
          <w:color w:val="auto"/>
          <w:highlight w:val="none"/>
        </w:rPr>
        <w:t>等政策要求，若资格要求涉及的登记、备案等有关事项和各类证照已实行多证合一</w:t>
      </w:r>
      <w:r>
        <w:rPr>
          <w:rFonts w:hint="eastAsia"/>
          <w:color w:val="auto"/>
          <w:highlight w:val="none"/>
        </w:rPr>
        <w:t>的，提供多证合一证照副本复印件</w:t>
      </w:r>
      <w:r>
        <w:rPr>
          <w:color w:val="auto"/>
          <w:highlight w:val="none"/>
        </w:rPr>
        <w:t>。</w:t>
      </w:r>
    </w:p>
    <w:p>
      <w:pPr>
        <w:pStyle w:val="44"/>
        <w:rPr>
          <w:color w:val="auto"/>
          <w:highlight w:val="none"/>
        </w:rPr>
      </w:pPr>
    </w:p>
    <w:p>
      <w:pPr>
        <w:pStyle w:val="46"/>
        <w:numPr>
          <w:ilvl w:val="0"/>
          <w:numId w:val="24"/>
        </w:numPr>
        <w:spacing w:before="120" w:after="120"/>
        <w:ind w:left="0" w:hanging="9"/>
        <w:rPr>
          <w:rFonts w:hint="eastAsia" w:ascii="宋体" w:hAnsi="宋体" w:eastAsia="宋体"/>
          <w:color w:val="auto"/>
          <w:highlight w:val="none"/>
        </w:rPr>
      </w:pPr>
      <w:bookmarkStart w:id="913" w:name="_Toc29548"/>
      <w:bookmarkStart w:id="914" w:name="_Toc17113"/>
      <w:r>
        <w:rPr>
          <w:rFonts w:hint="eastAsia" w:ascii="宋体" w:hAnsi="宋体" w:eastAsia="宋体"/>
          <w:color w:val="auto"/>
          <w:highlight w:val="none"/>
        </w:rPr>
        <w:t>投标人具有良好的商业信誉和健全的财务会计制度的证明材料</w:t>
      </w:r>
      <w:bookmarkEnd w:id="910"/>
      <w:bookmarkEnd w:id="911"/>
      <w:bookmarkEnd w:id="913"/>
      <w:bookmarkEnd w:id="914"/>
    </w:p>
    <w:bookmarkEnd w:id="912"/>
    <w:p>
      <w:pPr>
        <w:pStyle w:val="48"/>
        <w:spacing w:line="520" w:lineRule="exact"/>
        <w:rPr>
          <w:color w:val="auto"/>
          <w:highlight w:val="none"/>
        </w:rPr>
      </w:pPr>
      <w:bookmarkStart w:id="915" w:name="_Toc19866"/>
      <w:bookmarkStart w:id="916" w:name="_Toc17744"/>
      <w:bookmarkStart w:id="917" w:name="_Toc5443"/>
      <w:r>
        <w:rPr>
          <w:rFonts w:hint="eastAsia"/>
          <w:color w:val="auto"/>
          <w:highlight w:val="none"/>
        </w:rPr>
        <w:t>1.投标人具有良好商业信誉的证明材料</w:t>
      </w:r>
    </w:p>
    <w:p>
      <w:pPr>
        <w:pStyle w:val="48"/>
        <w:spacing w:line="520" w:lineRule="exact"/>
        <w:rPr>
          <w:color w:val="auto"/>
          <w:highlight w:val="none"/>
        </w:rPr>
      </w:pPr>
      <w:r>
        <w:rPr>
          <w:rFonts w:hint="eastAsia"/>
          <w:color w:val="auto"/>
          <w:highlight w:val="none"/>
        </w:rPr>
        <w:t>提供具有良好的商业信誉的承诺函。</w:t>
      </w:r>
    </w:p>
    <w:p>
      <w:pPr>
        <w:pStyle w:val="48"/>
        <w:spacing w:line="520" w:lineRule="exact"/>
        <w:ind w:firstLine="482"/>
        <w:rPr>
          <w:color w:val="auto"/>
          <w:highlight w:val="none"/>
        </w:rPr>
      </w:pPr>
      <w:r>
        <w:rPr>
          <w:rFonts w:hint="eastAsia"/>
          <w:b/>
          <w:bCs/>
          <w:color w:val="auto"/>
          <w:highlight w:val="none"/>
        </w:rPr>
        <w:t>注：</w:t>
      </w:r>
      <w:r>
        <w:rPr>
          <w:rFonts w:hint="eastAsia" w:cs="宋体" w:asciiTheme="minorEastAsia" w:hAnsiTheme="minorEastAsia" w:eastAsiaTheme="minorEastAsia"/>
          <w:b/>
          <w:bCs/>
          <w:color w:val="auto"/>
          <w:highlight w:val="none"/>
        </w:rPr>
        <w:t>承诺函格式自拟，</w:t>
      </w:r>
      <w:r>
        <w:rPr>
          <w:rFonts w:hint="eastAsia"/>
          <w:b/>
          <w:color w:val="auto"/>
          <w:highlight w:val="none"/>
        </w:rPr>
        <w:t>或参照《承诺及声明函》的格式提供承诺函。</w:t>
      </w:r>
    </w:p>
    <w:p>
      <w:pPr>
        <w:pStyle w:val="48"/>
        <w:spacing w:line="520" w:lineRule="exact"/>
        <w:rPr>
          <w:color w:val="auto"/>
          <w:highlight w:val="none"/>
        </w:rPr>
      </w:pPr>
      <w:r>
        <w:rPr>
          <w:rFonts w:hint="eastAsia"/>
          <w:color w:val="auto"/>
          <w:highlight w:val="none"/>
        </w:rPr>
        <w:t>2.投标人具有健全的财务会计制度的证明材料</w:t>
      </w:r>
    </w:p>
    <w:p>
      <w:pPr>
        <w:pStyle w:val="48"/>
        <w:spacing w:line="520" w:lineRule="exact"/>
        <w:rPr>
          <w:color w:val="auto"/>
          <w:highlight w:val="none"/>
        </w:rPr>
      </w:pPr>
      <w:r>
        <w:rPr>
          <w:rFonts w:hint="eastAsia"/>
          <w:color w:val="auto"/>
          <w:highlight w:val="none"/>
        </w:rPr>
        <w:t>(1)投标人提供2022年度经过会计师事务所审计的财务报告复印件(经审计的有效财务报告应包括报告及报告中所附的完整内容，并由注册会计师签名、盖章以及会计师事务所盖章)；</w:t>
      </w:r>
    </w:p>
    <w:p>
      <w:pPr>
        <w:pStyle w:val="48"/>
        <w:spacing w:line="520" w:lineRule="exact"/>
        <w:rPr>
          <w:color w:val="auto"/>
          <w:highlight w:val="none"/>
        </w:rPr>
      </w:pPr>
      <w:r>
        <w:rPr>
          <w:rFonts w:hint="eastAsia"/>
          <w:color w:val="auto"/>
          <w:highlight w:val="none"/>
        </w:rPr>
        <w:t>(2)投标人提供2022年度投标人内部的财务报表复印件(至少包含资产负债表)；</w:t>
      </w:r>
    </w:p>
    <w:p>
      <w:pPr>
        <w:pStyle w:val="48"/>
        <w:spacing w:line="520" w:lineRule="exact"/>
        <w:rPr>
          <w:color w:val="auto"/>
          <w:highlight w:val="none"/>
        </w:rPr>
      </w:pPr>
      <w:r>
        <w:rPr>
          <w:rFonts w:hint="eastAsia"/>
          <w:color w:val="auto"/>
          <w:highlight w:val="none"/>
        </w:rPr>
        <w:t>(3)投标人提供投标文件递交截止日前一年内银行为其出具的资信证明复印件；</w:t>
      </w:r>
    </w:p>
    <w:p>
      <w:pPr>
        <w:pStyle w:val="48"/>
        <w:spacing w:line="520" w:lineRule="exact"/>
        <w:rPr>
          <w:color w:val="auto"/>
          <w:highlight w:val="none"/>
        </w:rPr>
      </w:pPr>
      <w:r>
        <w:rPr>
          <w:rFonts w:hint="eastAsia"/>
          <w:color w:val="auto"/>
          <w:highlight w:val="none"/>
        </w:rPr>
        <w:t>(4)投标人注册时间截至投标文件递交截止日不足一年的，可提供公司章程复印件；</w:t>
      </w:r>
    </w:p>
    <w:p>
      <w:pPr>
        <w:pStyle w:val="48"/>
        <w:spacing w:line="520" w:lineRule="exact"/>
        <w:rPr>
          <w:color w:val="auto"/>
          <w:highlight w:val="none"/>
        </w:rPr>
      </w:pPr>
      <w:r>
        <w:rPr>
          <w:rFonts w:hint="eastAsia"/>
          <w:color w:val="auto"/>
          <w:highlight w:val="none"/>
        </w:rPr>
        <w:t>(5)投标人提供具有健全的财务会计制度的承诺函。</w:t>
      </w:r>
    </w:p>
    <w:p>
      <w:pPr>
        <w:pStyle w:val="49"/>
        <w:spacing w:line="520" w:lineRule="exact"/>
        <w:ind w:firstLine="482"/>
        <w:rPr>
          <w:color w:val="auto"/>
          <w:highlight w:val="none"/>
        </w:rPr>
      </w:pPr>
      <w:r>
        <w:rPr>
          <w:rFonts w:hint="eastAsia"/>
          <w:bCs/>
          <w:color w:val="auto"/>
          <w:highlight w:val="none"/>
        </w:rPr>
        <w:t>注：具有健全的财务会计制度的证明材料中第(1)-(5)项具有同等的投标效力，投标人可根据自身实际情况选择提供其中任意一项。</w:t>
      </w:r>
    </w:p>
    <w:p>
      <w:pPr>
        <w:pStyle w:val="46"/>
        <w:numPr>
          <w:ilvl w:val="0"/>
          <w:numId w:val="24"/>
        </w:numPr>
        <w:spacing w:before="120" w:after="120"/>
        <w:ind w:left="0" w:hanging="9"/>
        <w:rPr>
          <w:rFonts w:hint="eastAsia" w:ascii="宋体" w:hAnsi="宋体" w:eastAsia="宋体"/>
          <w:color w:val="auto"/>
          <w:highlight w:val="none"/>
        </w:rPr>
      </w:pPr>
      <w:bookmarkStart w:id="918" w:name="_Toc23878"/>
      <w:bookmarkStart w:id="919" w:name="_Toc17978"/>
      <w:r>
        <w:rPr>
          <w:rFonts w:hint="eastAsia" w:ascii="宋体" w:hAnsi="宋体" w:eastAsia="宋体"/>
          <w:color w:val="auto"/>
          <w:highlight w:val="none"/>
        </w:rPr>
        <w:t>投标人有依法缴纳税收和社会保障资金的良好记录的证明材料</w:t>
      </w:r>
      <w:bookmarkEnd w:id="915"/>
      <w:bookmarkEnd w:id="916"/>
      <w:bookmarkEnd w:id="918"/>
      <w:bookmarkEnd w:id="919"/>
    </w:p>
    <w:bookmarkEnd w:id="917"/>
    <w:p>
      <w:pPr>
        <w:pStyle w:val="48"/>
        <w:spacing w:line="520" w:lineRule="exact"/>
        <w:rPr>
          <w:color w:val="auto"/>
          <w:highlight w:val="none"/>
        </w:rPr>
      </w:pPr>
      <w:r>
        <w:rPr>
          <w:rFonts w:hint="eastAsia"/>
          <w:color w:val="auto"/>
          <w:highlight w:val="none"/>
        </w:rPr>
        <w:t>提供有</w:t>
      </w:r>
      <w:r>
        <w:rPr>
          <w:rFonts w:hint="eastAsia"/>
          <w:color w:val="auto"/>
          <w:highlight w:val="none"/>
          <w:lang w:val="zh-CN"/>
        </w:rPr>
        <w:t>依法缴纳税收和社会保障资金的良好记录</w:t>
      </w:r>
      <w:r>
        <w:rPr>
          <w:rFonts w:hint="eastAsia"/>
          <w:color w:val="auto"/>
          <w:highlight w:val="none"/>
        </w:rPr>
        <w:t>的承诺函。</w:t>
      </w:r>
    </w:p>
    <w:p>
      <w:pPr>
        <w:pStyle w:val="49"/>
        <w:spacing w:line="520" w:lineRule="exact"/>
        <w:ind w:firstLine="482"/>
        <w:rPr>
          <w:color w:val="auto"/>
          <w:highlight w:val="none"/>
        </w:rPr>
      </w:pPr>
      <w:r>
        <w:rPr>
          <w:rFonts w:hint="eastAsia"/>
          <w:color w:val="auto"/>
          <w:highlight w:val="none"/>
        </w:rPr>
        <w:t>注：</w:t>
      </w:r>
      <w:r>
        <w:rPr>
          <w:rFonts w:hint="eastAsia" w:cs="宋体" w:asciiTheme="minorEastAsia" w:hAnsiTheme="minorEastAsia" w:eastAsiaTheme="minorEastAsia"/>
          <w:b/>
          <w:bCs/>
          <w:color w:val="auto"/>
          <w:highlight w:val="none"/>
        </w:rPr>
        <w:t>承诺函格式自拟，</w:t>
      </w:r>
      <w:r>
        <w:rPr>
          <w:rFonts w:hint="eastAsia"/>
          <w:color w:val="auto"/>
          <w:highlight w:val="none"/>
        </w:rPr>
        <w:t>或参照《承诺及声明函》的格式提供承诺函。</w:t>
      </w:r>
    </w:p>
    <w:p>
      <w:pPr>
        <w:pStyle w:val="44"/>
        <w:rPr>
          <w:color w:val="auto"/>
          <w:highlight w:val="none"/>
        </w:rPr>
      </w:pPr>
      <w:r>
        <w:rPr>
          <w:rFonts w:hint="eastAsia"/>
          <w:color w:val="auto"/>
          <w:highlight w:val="none"/>
        </w:rPr>
        <w:br w:type="page"/>
      </w:r>
    </w:p>
    <w:p>
      <w:pPr>
        <w:pStyle w:val="46"/>
        <w:numPr>
          <w:ilvl w:val="0"/>
          <w:numId w:val="24"/>
        </w:numPr>
        <w:spacing w:before="120" w:after="120"/>
        <w:ind w:left="0" w:hanging="9"/>
        <w:rPr>
          <w:rFonts w:hint="eastAsia" w:ascii="宋体" w:hAnsi="宋体" w:eastAsia="宋体"/>
          <w:color w:val="auto"/>
          <w:highlight w:val="none"/>
        </w:rPr>
      </w:pPr>
      <w:bookmarkStart w:id="920" w:name="_Toc24252"/>
      <w:bookmarkStart w:id="921" w:name="_Toc6792"/>
      <w:bookmarkStart w:id="922" w:name="_Toc16336"/>
      <w:bookmarkStart w:id="923" w:name="_Toc15870"/>
      <w:r>
        <w:rPr>
          <w:rFonts w:hint="eastAsia" w:ascii="宋体" w:hAnsi="宋体" w:eastAsia="宋体"/>
          <w:color w:val="auto"/>
          <w:highlight w:val="none"/>
        </w:rPr>
        <w:t>投标人具有履行合同所必需的设备和专业技术能力证明材料</w:t>
      </w:r>
      <w:bookmarkEnd w:id="920"/>
      <w:bookmarkEnd w:id="921"/>
      <w:bookmarkEnd w:id="922"/>
      <w:bookmarkEnd w:id="923"/>
    </w:p>
    <w:p>
      <w:pPr>
        <w:pStyle w:val="48"/>
        <w:spacing w:line="520" w:lineRule="exact"/>
        <w:rPr>
          <w:color w:val="auto"/>
          <w:highlight w:val="none"/>
        </w:rPr>
      </w:pPr>
      <w:r>
        <w:rPr>
          <w:rFonts w:hint="eastAsia"/>
          <w:color w:val="auto"/>
          <w:highlight w:val="none"/>
        </w:rPr>
        <w:t>提供具有履行合同所必需的设备和专业技术能力的承诺函。</w:t>
      </w:r>
    </w:p>
    <w:p>
      <w:pPr>
        <w:pStyle w:val="49"/>
        <w:spacing w:line="520" w:lineRule="exact"/>
        <w:ind w:firstLine="482"/>
        <w:rPr>
          <w:color w:val="auto"/>
          <w:highlight w:val="none"/>
        </w:rPr>
      </w:pPr>
      <w:r>
        <w:rPr>
          <w:rFonts w:hint="eastAsia"/>
          <w:color w:val="auto"/>
          <w:highlight w:val="none"/>
        </w:rPr>
        <w:t>注：</w:t>
      </w:r>
      <w:r>
        <w:rPr>
          <w:rFonts w:hint="eastAsia" w:cs="宋体" w:asciiTheme="minorEastAsia" w:hAnsiTheme="minorEastAsia" w:eastAsiaTheme="minorEastAsia"/>
          <w:b/>
          <w:bCs/>
          <w:color w:val="auto"/>
          <w:highlight w:val="none"/>
        </w:rPr>
        <w:t>承诺函格式自拟，</w:t>
      </w:r>
      <w:r>
        <w:rPr>
          <w:rFonts w:hint="eastAsia"/>
          <w:color w:val="auto"/>
          <w:highlight w:val="none"/>
        </w:rPr>
        <w:t>或参照《承诺及声明函》的格式提供承诺函。</w:t>
      </w:r>
    </w:p>
    <w:p>
      <w:pPr>
        <w:pStyle w:val="44"/>
        <w:rPr>
          <w:color w:val="auto"/>
          <w:highlight w:val="none"/>
        </w:rPr>
      </w:pPr>
      <w:r>
        <w:rPr>
          <w:rFonts w:hint="eastAsia"/>
          <w:color w:val="auto"/>
          <w:highlight w:val="none"/>
        </w:rPr>
        <w:br w:type="page"/>
      </w:r>
    </w:p>
    <w:p>
      <w:pPr>
        <w:pStyle w:val="46"/>
        <w:numPr>
          <w:ilvl w:val="0"/>
          <w:numId w:val="24"/>
        </w:numPr>
        <w:spacing w:before="120" w:after="120"/>
        <w:ind w:left="0" w:hanging="9"/>
        <w:rPr>
          <w:rFonts w:hint="eastAsia" w:ascii="宋体" w:hAnsi="宋体" w:eastAsia="宋体"/>
          <w:color w:val="auto"/>
          <w:highlight w:val="none"/>
        </w:rPr>
      </w:pPr>
      <w:bookmarkStart w:id="924" w:name="_Toc21379"/>
      <w:bookmarkStart w:id="925" w:name="_Toc13512"/>
      <w:bookmarkStart w:id="926" w:name="_Toc23733"/>
      <w:r>
        <w:rPr>
          <w:rFonts w:hint="eastAsia" w:ascii="宋体" w:hAnsi="宋体" w:eastAsia="宋体"/>
          <w:color w:val="auto"/>
          <w:highlight w:val="none"/>
        </w:rPr>
        <w:t>投标人参加采购活动前三年内，在经营活动中没有重大违法记录的证明材料</w:t>
      </w:r>
      <w:bookmarkEnd w:id="924"/>
      <w:bookmarkEnd w:id="925"/>
      <w:bookmarkEnd w:id="926"/>
    </w:p>
    <w:p>
      <w:pPr>
        <w:pStyle w:val="48"/>
        <w:spacing w:line="520" w:lineRule="exact"/>
        <w:rPr>
          <w:color w:val="auto"/>
          <w:highlight w:val="none"/>
        </w:rPr>
      </w:pPr>
      <w:bookmarkStart w:id="927" w:name="_Toc9591"/>
      <w:bookmarkStart w:id="928" w:name="_Toc14299"/>
      <w:r>
        <w:rPr>
          <w:rFonts w:hint="eastAsia"/>
          <w:color w:val="auto"/>
          <w:highlight w:val="none"/>
        </w:rPr>
        <w:t>投标人提供参加本次采购活动前三年内，在经营活动中没有重大违法记录的书面声明(成立不足三年的，从成立之日起计算)。</w:t>
      </w:r>
    </w:p>
    <w:p>
      <w:pPr>
        <w:pStyle w:val="49"/>
        <w:spacing w:line="520" w:lineRule="exact"/>
        <w:ind w:firstLine="482"/>
        <w:rPr>
          <w:color w:val="auto"/>
          <w:highlight w:val="none"/>
        </w:rPr>
      </w:pPr>
      <w:bookmarkStart w:id="929" w:name="_Toc26284"/>
      <w:bookmarkStart w:id="930" w:name="_Toc7540"/>
      <w:r>
        <w:rPr>
          <w:rFonts w:hint="eastAsia"/>
          <w:color w:val="auto"/>
          <w:highlight w:val="none"/>
        </w:rPr>
        <w:t>注：</w:t>
      </w:r>
      <w:r>
        <w:rPr>
          <w:rFonts w:hint="eastAsia" w:cs="宋体" w:asciiTheme="minorEastAsia" w:hAnsiTheme="minorEastAsia" w:eastAsiaTheme="minorEastAsia"/>
          <w:b/>
          <w:bCs/>
          <w:color w:val="auto"/>
          <w:highlight w:val="none"/>
        </w:rPr>
        <w:t>承诺函格式自拟，</w:t>
      </w:r>
      <w:r>
        <w:rPr>
          <w:rFonts w:hint="eastAsia"/>
          <w:color w:val="auto"/>
          <w:highlight w:val="none"/>
        </w:rPr>
        <w:t>或参照《承诺及声明函》的格式提供声明函。</w:t>
      </w:r>
    </w:p>
    <w:bookmarkEnd w:id="927"/>
    <w:bookmarkEnd w:id="928"/>
    <w:bookmarkEnd w:id="929"/>
    <w:bookmarkEnd w:id="930"/>
    <w:p>
      <w:pPr>
        <w:pStyle w:val="46"/>
        <w:numPr>
          <w:ilvl w:val="0"/>
          <w:numId w:val="24"/>
        </w:numPr>
        <w:spacing w:before="120" w:after="120"/>
        <w:ind w:left="0" w:hanging="9"/>
        <w:rPr>
          <w:rFonts w:hint="eastAsia" w:ascii="宋体" w:hAnsi="宋体" w:eastAsia="宋体"/>
          <w:color w:val="auto"/>
          <w:highlight w:val="none"/>
          <w:lang w:val="zh-CN"/>
        </w:rPr>
      </w:pPr>
      <w:bookmarkStart w:id="931" w:name="_Toc17558"/>
      <w:bookmarkStart w:id="932" w:name="_Toc3840"/>
      <w:bookmarkStart w:id="933" w:name="_Toc27034"/>
      <w:bookmarkStart w:id="934" w:name="_Toc15865"/>
      <w:bookmarkStart w:id="935" w:name="_Toc26788"/>
      <w:bookmarkStart w:id="936" w:name="_Toc15054"/>
      <w:bookmarkStart w:id="937" w:name="_Toc19166"/>
      <w:bookmarkStart w:id="938" w:name="_Toc4865"/>
      <w:r>
        <w:rPr>
          <w:rFonts w:hint="eastAsia" w:ascii="宋体" w:hAnsi="宋体" w:eastAsia="宋体"/>
          <w:color w:val="auto"/>
          <w:highlight w:val="none"/>
        </w:rPr>
        <w:t>投标人</w:t>
      </w:r>
      <w:r>
        <w:rPr>
          <w:rFonts w:hint="eastAsia" w:ascii="宋体" w:hAnsi="宋体" w:eastAsia="宋体"/>
          <w:color w:val="auto"/>
          <w:highlight w:val="none"/>
          <w:lang w:val="zh-CN"/>
        </w:rPr>
        <w:t>及其现任法定代表人、主要负责人不得具有行贿犯罪记录</w:t>
      </w:r>
      <w:r>
        <w:rPr>
          <w:rFonts w:hint="eastAsia" w:ascii="宋体" w:hAnsi="宋体" w:eastAsia="宋体"/>
          <w:color w:val="auto"/>
          <w:highlight w:val="none"/>
        </w:rPr>
        <w:t>的</w:t>
      </w:r>
      <w:bookmarkEnd w:id="931"/>
      <w:bookmarkEnd w:id="932"/>
      <w:bookmarkEnd w:id="933"/>
      <w:r>
        <w:rPr>
          <w:rFonts w:hint="eastAsia" w:ascii="宋体" w:hAnsi="宋体" w:eastAsia="宋体"/>
          <w:color w:val="auto"/>
          <w:highlight w:val="none"/>
        </w:rPr>
        <w:t>承诺函</w:t>
      </w:r>
      <w:bookmarkEnd w:id="934"/>
      <w:bookmarkEnd w:id="935"/>
    </w:p>
    <w:p>
      <w:pPr>
        <w:pStyle w:val="44"/>
        <w:adjustRightInd/>
        <w:snapToGrid/>
        <w:spacing w:line="520" w:lineRule="exact"/>
        <w:rPr>
          <w:rFonts w:cs="宋体"/>
          <w:color w:val="auto"/>
          <w:highlight w:val="none"/>
        </w:rPr>
      </w:pPr>
      <w:bookmarkStart w:id="939" w:name="_Toc8455"/>
      <w:r>
        <w:rPr>
          <w:rFonts w:hint="eastAsia" w:cs="宋体"/>
          <w:color w:val="auto"/>
          <w:highlight w:val="none"/>
          <w:u w:val="single"/>
        </w:rPr>
        <w:t xml:space="preserve">                   </w:t>
      </w:r>
      <w:r>
        <w:rPr>
          <w:rFonts w:hint="eastAsia" w:cs="宋体"/>
          <w:color w:val="auto"/>
          <w:highlight w:val="none"/>
        </w:rPr>
        <w:t>(采购代理机构名称)：</w:t>
      </w:r>
    </w:p>
    <w:p>
      <w:pPr>
        <w:pStyle w:val="44"/>
        <w:adjustRightInd/>
        <w:snapToGrid/>
        <w:spacing w:line="520" w:lineRule="exact"/>
        <w:ind w:firstLine="480" w:firstLineChars="200"/>
        <w:rPr>
          <w:rFonts w:cs="宋体"/>
          <w:color w:val="auto"/>
          <w:highlight w:val="none"/>
        </w:rPr>
      </w:pPr>
      <w:r>
        <w:rPr>
          <w:rFonts w:hint="eastAsia" w:cs="宋体"/>
          <w:color w:val="auto"/>
          <w:highlight w:val="none"/>
        </w:rPr>
        <w:t>我单位作为本次采购项目的投标人，根据招标文件要求，现郑重承诺如下：</w:t>
      </w:r>
    </w:p>
    <w:p>
      <w:pPr>
        <w:pStyle w:val="48"/>
        <w:adjustRightInd/>
        <w:snapToGrid/>
        <w:spacing w:line="520" w:lineRule="exact"/>
        <w:rPr>
          <w:rFonts w:cs="宋体"/>
          <w:color w:val="auto"/>
          <w:highlight w:val="none"/>
          <w:u w:val="single"/>
        </w:rPr>
      </w:pPr>
      <w:r>
        <w:rPr>
          <w:rFonts w:hint="eastAsia" w:cs="宋体"/>
          <w:color w:val="auto"/>
          <w:highlight w:val="none"/>
          <w:u w:val="single"/>
        </w:rPr>
        <w:t xml:space="preserve">           </w:t>
      </w:r>
      <w:r>
        <w:rPr>
          <w:rFonts w:hint="eastAsia" w:cs="宋体"/>
          <w:color w:val="auto"/>
          <w:highlight w:val="none"/>
        </w:rPr>
        <w:t>(投标人名称)及其现任法定代表人</w:t>
      </w:r>
      <w:r>
        <w:rPr>
          <w:rFonts w:hint="eastAsia" w:cs="宋体"/>
          <w:color w:val="auto"/>
          <w:highlight w:val="none"/>
          <w:u w:val="single"/>
        </w:rPr>
        <w:t xml:space="preserve">       </w:t>
      </w:r>
      <w:r>
        <w:rPr>
          <w:rFonts w:hint="eastAsia" w:cs="宋体"/>
          <w:color w:val="auto"/>
          <w:highlight w:val="none"/>
        </w:rPr>
        <w:t>(姓名)、</w:t>
      </w:r>
      <w:r>
        <w:rPr>
          <w:rFonts w:hint="eastAsia" w:cs="宋体"/>
          <w:color w:val="auto"/>
          <w:highlight w:val="none"/>
          <w:u w:val="single"/>
        </w:rPr>
        <w:t xml:space="preserve">      </w:t>
      </w:r>
      <w:r>
        <w:rPr>
          <w:rFonts w:hint="eastAsia" w:cs="宋体"/>
          <w:color w:val="auto"/>
          <w:highlight w:val="none"/>
        </w:rPr>
        <w:t>(身份证号码)，主要负责人</w:t>
      </w:r>
      <w:r>
        <w:rPr>
          <w:rFonts w:hint="eastAsia" w:cs="宋体"/>
          <w:color w:val="auto"/>
          <w:highlight w:val="none"/>
          <w:u w:val="single"/>
        </w:rPr>
        <w:t xml:space="preserve">       </w:t>
      </w:r>
      <w:r>
        <w:rPr>
          <w:rFonts w:hint="eastAsia" w:cs="宋体"/>
          <w:color w:val="auto"/>
          <w:highlight w:val="none"/>
        </w:rPr>
        <w:t>(姓名)、</w:t>
      </w:r>
      <w:r>
        <w:rPr>
          <w:rFonts w:hint="eastAsia" w:cs="宋体"/>
          <w:color w:val="auto"/>
          <w:highlight w:val="none"/>
          <w:u w:val="single"/>
        </w:rPr>
        <w:t xml:space="preserve">         </w:t>
      </w:r>
      <w:r>
        <w:rPr>
          <w:rFonts w:hint="eastAsia" w:cs="宋体"/>
          <w:color w:val="auto"/>
          <w:highlight w:val="none"/>
        </w:rPr>
        <w:t>(身份证号码)，</w:t>
      </w:r>
      <w:r>
        <w:rPr>
          <w:rFonts w:hint="eastAsia" w:cs="宋体"/>
          <w:color w:val="auto"/>
          <w:highlight w:val="none"/>
          <w:u w:val="single"/>
        </w:rPr>
        <w:t xml:space="preserve">        </w:t>
      </w:r>
      <w:r>
        <w:rPr>
          <w:rFonts w:hint="eastAsia" w:cs="宋体"/>
          <w:color w:val="auto"/>
          <w:highlight w:val="none"/>
        </w:rPr>
        <w:t xml:space="preserve">(无行贿犯罪记录的期限)均无行贿犯罪记录。     </w:t>
      </w:r>
    </w:p>
    <w:p>
      <w:pPr>
        <w:pStyle w:val="48"/>
        <w:adjustRightInd/>
        <w:snapToGrid/>
        <w:spacing w:line="520" w:lineRule="exact"/>
        <w:rPr>
          <w:rFonts w:cs="宋体"/>
          <w:color w:val="auto"/>
          <w:highlight w:val="none"/>
        </w:rPr>
      </w:pPr>
      <w:r>
        <w:rPr>
          <w:rFonts w:hint="eastAsia" w:cs="宋体"/>
          <w:color w:val="auto"/>
          <w:highlight w:val="none"/>
        </w:rPr>
        <w:t>我单位对上述承诺的内容事项真实性、合法性负责。如经查实上述承诺的内容事项存在虚假，我单位自愿接受以提供虚假材料谋取中标所带来的所有法律责任。</w:t>
      </w:r>
    </w:p>
    <w:p>
      <w:pPr>
        <w:pStyle w:val="44"/>
        <w:adjustRightInd/>
        <w:snapToGrid/>
        <w:spacing w:line="520" w:lineRule="exact"/>
        <w:rPr>
          <w:rFonts w:cs="宋体"/>
          <w:color w:val="auto"/>
          <w:highlight w:val="none"/>
        </w:rPr>
      </w:pPr>
    </w:p>
    <w:p>
      <w:pPr>
        <w:pStyle w:val="44"/>
        <w:adjustRightInd/>
        <w:snapToGrid/>
        <w:spacing w:line="520" w:lineRule="exact"/>
        <w:rPr>
          <w:rFonts w:cs="宋体"/>
          <w:color w:val="auto"/>
          <w:highlight w:val="none"/>
        </w:rPr>
      </w:pPr>
    </w:p>
    <w:p>
      <w:pPr>
        <w:pStyle w:val="48"/>
        <w:spacing w:line="520" w:lineRule="exact"/>
        <w:rPr>
          <w:rFonts w:cs="宋体"/>
          <w:color w:val="auto"/>
          <w:highlight w:val="none"/>
        </w:rPr>
      </w:pPr>
      <w:r>
        <w:rPr>
          <w:rFonts w:hint="eastAsia" w:cs="宋体"/>
          <w:color w:val="auto"/>
          <w:highlight w:val="none"/>
        </w:rPr>
        <w:t>投标人名称：</w:t>
      </w:r>
      <w:r>
        <w:rPr>
          <w:rFonts w:hint="eastAsia" w:cs="宋体"/>
          <w:color w:val="auto"/>
          <w:highlight w:val="none"/>
          <w:u w:val="single"/>
        </w:rPr>
        <w:t xml:space="preserve">               </w:t>
      </w:r>
      <w:r>
        <w:rPr>
          <w:rFonts w:hint="eastAsia" w:cs="宋体"/>
          <w:color w:val="auto"/>
          <w:highlight w:val="none"/>
        </w:rPr>
        <w:t>(盖章)</w:t>
      </w:r>
    </w:p>
    <w:p>
      <w:pPr>
        <w:pStyle w:val="48"/>
        <w:spacing w:line="520" w:lineRule="exact"/>
        <w:rPr>
          <w:rFonts w:cs="宋体"/>
          <w:color w:val="auto"/>
          <w:highlight w:val="none"/>
        </w:rPr>
      </w:pPr>
      <w:r>
        <w:rPr>
          <w:rFonts w:hint="eastAsia" w:cs="宋体"/>
          <w:color w:val="auto"/>
          <w:highlight w:val="none"/>
        </w:rPr>
        <w:t>法定代表人/单位负责人或授权代表：</w:t>
      </w:r>
      <w:r>
        <w:rPr>
          <w:rFonts w:hint="eastAsia" w:cs="宋体"/>
          <w:color w:val="auto"/>
          <w:highlight w:val="none"/>
          <w:u w:val="single"/>
        </w:rPr>
        <w:t xml:space="preserve">            </w:t>
      </w:r>
      <w:r>
        <w:rPr>
          <w:rFonts w:hint="eastAsia" w:cs="宋体"/>
          <w:color w:val="auto"/>
          <w:highlight w:val="none"/>
        </w:rPr>
        <w:t>(签字或盖章)</w:t>
      </w:r>
    </w:p>
    <w:p>
      <w:pPr>
        <w:pStyle w:val="65"/>
        <w:numPr>
          <w:ilvl w:val="3"/>
          <w:numId w:val="0"/>
        </w:numPr>
        <w:adjustRightInd/>
        <w:snapToGrid/>
        <w:spacing w:line="520" w:lineRule="exact"/>
        <w:ind w:firstLine="480" w:firstLineChars="200"/>
        <w:rPr>
          <w:rFonts w:cs="宋体"/>
          <w:color w:val="auto"/>
          <w:highlight w:val="none"/>
          <w:u w:val="single"/>
        </w:rPr>
      </w:pPr>
      <w:r>
        <w:rPr>
          <w:rFonts w:hint="eastAsia" w:cs="宋体"/>
          <w:color w:val="auto"/>
          <w:highlight w:val="none"/>
        </w:rPr>
        <w:t>投标日期：</w:t>
      </w:r>
      <w:r>
        <w:rPr>
          <w:rFonts w:hint="eastAsia" w:cs="宋体"/>
          <w:color w:val="auto"/>
          <w:highlight w:val="none"/>
          <w:u w:val="single"/>
        </w:rPr>
        <w:t xml:space="preserve">                  </w:t>
      </w:r>
    </w:p>
    <w:p>
      <w:pPr>
        <w:pStyle w:val="65"/>
        <w:numPr>
          <w:ilvl w:val="3"/>
          <w:numId w:val="0"/>
        </w:numPr>
        <w:adjustRightInd/>
        <w:snapToGrid/>
        <w:spacing w:line="520" w:lineRule="exact"/>
        <w:ind w:firstLine="480" w:firstLineChars="200"/>
        <w:rPr>
          <w:rFonts w:cs="宋体"/>
          <w:color w:val="auto"/>
          <w:highlight w:val="none"/>
          <w:u w:val="single"/>
        </w:rPr>
      </w:pPr>
    </w:p>
    <w:p>
      <w:pPr>
        <w:pStyle w:val="65"/>
        <w:numPr>
          <w:ilvl w:val="3"/>
          <w:numId w:val="0"/>
        </w:numPr>
        <w:spacing w:line="520" w:lineRule="exact"/>
        <w:ind w:firstLine="482" w:firstLineChars="200"/>
        <w:rPr>
          <w:b/>
          <w:bCs/>
          <w:color w:val="auto"/>
          <w:highlight w:val="none"/>
        </w:rPr>
      </w:pPr>
      <w:r>
        <w:rPr>
          <w:rFonts w:hint="eastAsia"/>
          <w:b/>
          <w:bCs/>
          <w:color w:val="auto"/>
          <w:highlight w:val="none"/>
        </w:rPr>
        <w:t>注：投标人成立时间超过十年的，在“</w:t>
      </w:r>
      <w:r>
        <w:rPr>
          <w:rFonts w:hint="eastAsia" w:cs="宋体"/>
          <w:b/>
          <w:bCs/>
          <w:color w:val="auto"/>
          <w:highlight w:val="none"/>
        </w:rPr>
        <w:t>无行贿犯罪记录的期限</w:t>
      </w:r>
      <w:r>
        <w:rPr>
          <w:rFonts w:hint="eastAsia"/>
          <w:b/>
          <w:bCs/>
          <w:color w:val="auto"/>
          <w:highlight w:val="none"/>
        </w:rPr>
        <w:t>”</w:t>
      </w:r>
      <w:r>
        <w:rPr>
          <w:rFonts w:hint="eastAsia" w:cs="宋体"/>
          <w:b/>
          <w:bCs/>
          <w:color w:val="auto"/>
          <w:highlight w:val="none"/>
        </w:rPr>
        <w:t>处填写“十年内”；</w:t>
      </w:r>
      <w:r>
        <w:rPr>
          <w:rFonts w:hint="eastAsia"/>
          <w:b/>
          <w:bCs/>
          <w:color w:val="auto"/>
          <w:highlight w:val="none"/>
        </w:rPr>
        <w:t>投标人</w:t>
      </w:r>
      <w:r>
        <w:rPr>
          <w:rFonts w:hint="eastAsia" w:cs="宋体"/>
          <w:b/>
          <w:bCs/>
          <w:color w:val="auto"/>
          <w:highlight w:val="none"/>
        </w:rPr>
        <w:t>成立时间不足十年的，</w:t>
      </w:r>
      <w:r>
        <w:rPr>
          <w:rFonts w:hint="eastAsia"/>
          <w:b/>
          <w:bCs/>
          <w:color w:val="auto"/>
          <w:highlight w:val="none"/>
        </w:rPr>
        <w:t>在“</w:t>
      </w:r>
      <w:r>
        <w:rPr>
          <w:rFonts w:hint="eastAsia" w:cs="宋体"/>
          <w:b/>
          <w:bCs/>
          <w:color w:val="auto"/>
          <w:highlight w:val="none"/>
        </w:rPr>
        <w:t>无行贿犯罪记录的期限</w:t>
      </w:r>
      <w:r>
        <w:rPr>
          <w:rFonts w:hint="eastAsia"/>
          <w:b/>
          <w:bCs/>
          <w:color w:val="auto"/>
          <w:highlight w:val="none"/>
        </w:rPr>
        <w:t>”</w:t>
      </w:r>
      <w:r>
        <w:rPr>
          <w:rFonts w:hint="eastAsia" w:cs="宋体"/>
          <w:b/>
          <w:bCs/>
          <w:color w:val="auto"/>
          <w:highlight w:val="none"/>
        </w:rPr>
        <w:t>处填写“自我单位成立之日起至今”</w:t>
      </w:r>
      <w:r>
        <w:rPr>
          <w:rFonts w:hint="eastAsia"/>
          <w:b/>
          <w:bCs/>
          <w:color w:val="auto"/>
          <w:highlight w:val="none"/>
        </w:rPr>
        <w:t>。</w:t>
      </w:r>
    </w:p>
    <w:p>
      <w:pPr>
        <w:pStyle w:val="44"/>
        <w:rPr>
          <w:color w:val="auto"/>
          <w:highlight w:val="none"/>
          <w:lang w:val="zh-CN"/>
        </w:rPr>
      </w:pPr>
    </w:p>
    <w:p>
      <w:pPr>
        <w:pStyle w:val="44"/>
        <w:rPr>
          <w:color w:val="auto"/>
          <w:highlight w:val="none"/>
        </w:rPr>
      </w:pPr>
      <w:r>
        <w:rPr>
          <w:rFonts w:hint="eastAsia"/>
          <w:color w:val="auto"/>
          <w:highlight w:val="none"/>
        </w:rPr>
        <w:br w:type="page"/>
      </w:r>
      <w:bookmarkEnd w:id="939"/>
      <w:bookmarkStart w:id="940" w:name="_Toc2151"/>
    </w:p>
    <w:bookmarkEnd w:id="940"/>
    <w:p>
      <w:pPr>
        <w:pStyle w:val="46"/>
        <w:numPr>
          <w:ilvl w:val="0"/>
          <w:numId w:val="24"/>
        </w:numPr>
        <w:spacing w:before="120" w:after="120"/>
        <w:ind w:left="0" w:hanging="9"/>
        <w:rPr>
          <w:rFonts w:hint="eastAsia" w:ascii="宋体" w:hAnsi="宋体" w:eastAsia="宋体"/>
          <w:color w:val="auto"/>
          <w:highlight w:val="none"/>
        </w:rPr>
      </w:pPr>
      <w:bookmarkStart w:id="941" w:name="_Toc13203"/>
      <w:bookmarkStart w:id="942" w:name="_Toc6953"/>
      <w:r>
        <w:rPr>
          <w:rFonts w:hint="eastAsia" w:ascii="宋体" w:hAnsi="宋体" w:eastAsia="宋体"/>
          <w:color w:val="auto"/>
          <w:highlight w:val="none"/>
        </w:rPr>
        <w:t>根据采购项目的特殊要求，供应商提供具有特定条件</w:t>
      </w:r>
      <w:bookmarkEnd w:id="936"/>
      <w:r>
        <w:rPr>
          <w:rFonts w:hint="eastAsia" w:ascii="宋体" w:hAnsi="宋体" w:eastAsia="宋体"/>
          <w:color w:val="auto"/>
          <w:highlight w:val="none"/>
        </w:rPr>
        <w:t>的证明材料</w:t>
      </w:r>
      <w:bookmarkEnd w:id="937"/>
      <w:bookmarkEnd w:id="938"/>
      <w:bookmarkEnd w:id="941"/>
      <w:bookmarkEnd w:id="942"/>
    </w:p>
    <w:p>
      <w:pPr>
        <w:pStyle w:val="48"/>
        <w:spacing w:line="520" w:lineRule="exact"/>
        <w:rPr>
          <w:bCs/>
          <w:color w:val="auto"/>
          <w:highlight w:val="none"/>
        </w:rPr>
      </w:pPr>
      <w:r>
        <w:rPr>
          <w:rFonts w:hint="eastAsia"/>
          <w:bCs/>
          <w:color w:val="auto"/>
          <w:highlight w:val="none"/>
        </w:rPr>
        <w:t>提供未与其他投标供应商组成联合体参与本项目投标的承诺函。</w:t>
      </w:r>
    </w:p>
    <w:p>
      <w:pPr>
        <w:pStyle w:val="48"/>
        <w:spacing w:line="520" w:lineRule="exact"/>
        <w:ind w:firstLine="482"/>
        <w:rPr>
          <w:b/>
          <w:bCs/>
          <w:color w:val="auto"/>
          <w:highlight w:val="none"/>
        </w:rPr>
      </w:pPr>
      <w:r>
        <w:rPr>
          <w:rFonts w:hint="eastAsia" w:cs="宋体" w:asciiTheme="minorEastAsia" w:hAnsiTheme="minorEastAsia" w:eastAsiaTheme="minorEastAsia"/>
          <w:b/>
          <w:bCs/>
          <w:color w:val="auto"/>
          <w:highlight w:val="none"/>
        </w:rPr>
        <w:t>注：承诺函格式自拟，或参照《条件的承诺及声明函》的格式提供承诺函</w:t>
      </w:r>
      <w:r>
        <w:rPr>
          <w:rFonts w:hint="eastAsia"/>
          <w:b/>
          <w:bCs/>
          <w:color w:val="auto"/>
          <w:highlight w:val="none"/>
        </w:rPr>
        <w:t>。</w:t>
      </w:r>
    </w:p>
    <w:p>
      <w:pPr>
        <w:pStyle w:val="46"/>
        <w:numPr>
          <w:ilvl w:val="0"/>
          <w:numId w:val="24"/>
        </w:numPr>
        <w:spacing w:before="120" w:after="120"/>
        <w:ind w:left="0" w:hanging="9"/>
        <w:rPr>
          <w:rFonts w:hint="eastAsia" w:ascii="宋体" w:hAnsi="宋体" w:eastAsia="宋体"/>
          <w:color w:val="auto"/>
          <w:highlight w:val="none"/>
        </w:rPr>
        <w:sectPr>
          <w:headerReference r:id="rId11" w:type="first"/>
          <w:footerReference r:id="rId13" w:type="first"/>
          <w:headerReference r:id="rId10" w:type="default"/>
          <w:footerReference r:id="rId12" w:type="default"/>
          <w:pgSz w:w="11906" w:h="16838"/>
          <w:pgMar w:top="1440" w:right="1080" w:bottom="1440" w:left="1080" w:header="851" w:footer="992" w:gutter="0"/>
          <w:pgNumType w:fmt="decimal" w:start="1"/>
          <w:cols w:space="0" w:num="1"/>
          <w:titlePg/>
          <w:docGrid w:linePitch="312" w:charSpace="0"/>
        </w:sectPr>
      </w:pPr>
      <w:bookmarkStart w:id="943" w:name="_Toc15708"/>
      <w:bookmarkStart w:id="944" w:name="_Toc17860"/>
      <w:bookmarkStart w:id="945" w:name="_Toc21855"/>
    </w:p>
    <w:p>
      <w:pPr>
        <w:pStyle w:val="46"/>
        <w:numPr>
          <w:ilvl w:val="0"/>
          <w:numId w:val="24"/>
        </w:numPr>
        <w:spacing w:before="120" w:after="120"/>
        <w:ind w:left="0" w:hanging="9"/>
        <w:rPr>
          <w:rFonts w:hint="eastAsia" w:ascii="宋体" w:hAnsi="宋体" w:eastAsia="宋体"/>
          <w:color w:val="auto"/>
          <w:highlight w:val="none"/>
        </w:rPr>
      </w:pPr>
      <w:bookmarkStart w:id="946" w:name="_Toc968"/>
      <w:bookmarkStart w:id="947" w:name="_Toc28563"/>
      <w:bookmarkStart w:id="948" w:name="_Toc27143"/>
      <w:bookmarkStart w:id="949" w:name="_Toc11338"/>
      <w:bookmarkStart w:id="950" w:name="_Toc99012136"/>
      <w:bookmarkStart w:id="951" w:name="_Toc99012272"/>
      <w:bookmarkStart w:id="952" w:name="_Toc6738"/>
      <w:bookmarkStart w:id="953" w:name="_Toc981"/>
      <w:r>
        <w:rPr>
          <w:rFonts w:hint="eastAsia" w:ascii="宋体" w:hAnsi="宋体" w:eastAsia="宋体"/>
          <w:color w:val="auto"/>
          <w:highlight w:val="none"/>
        </w:rPr>
        <w:t>提供有效的投标保证金提交凭证</w:t>
      </w:r>
      <w:bookmarkEnd w:id="946"/>
      <w:bookmarkEnd w:id="947"/>
      <w:bookmarkEnd w:id="948"/>
      <w:bookmarkEnd w:id="949"/>
      <w:bookmarkEnd w:id="950"/>
      <w:bookmarkEnd w:id="951"/>
      <w:bookmarkEnd w:id="952"/>
      <w:bookmarkEnd w:id="953"/>
    </w:p>
    <w:p>
      <w:pPr>
        <w:tabs>
          <w:tab w:val="left" w:pos="3091"/>
        </w:tabs>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提交投标保证金的银行回单复印件(若以保函方式提交投标保证金的，提供保函原件)。</w:t>
      </w:r>
    </w:p>
    <w:p>
      <w:pPr>
        <w:pStyle w:val="46"/>
        <w:numPr>
          <w:ilvl w:val="0"/>
          <w:numId w:val="24"/>
        </w:numPr>
        <w:spacing w:before="120" w:after="120"/>
        <w:ind w:left="0" w:hanging="9"/>
        <w:rPr>
          <w:rFonts w:hint="eastAsia" w:ascii="宋体" w:hAnsi="宋体" w:eastAsia="宋体"/>
          <w:color w:val="auto"/>
          <w:highlight w:val="none"/>
        </w:rPr>
        <w:sectPr>
          <w:pgSz w:w="11906" w:h="16838"/>
          <w:pgMar w:top="1440" w:right="1080" w:bottom="1440" w:left="1080" w:header="851" w:footer="992" w:gutter="0"/>
          <w:pgNumType w:fmt="decimal"/>
          <w:cols w:space="0" w:num="1"/>
          <w:titlePg/>
          <w:docGrid w:linePitch="312" w:charSpace="0"/>
        </w:sectPr>
      </w:pPr>
    </w:p>
    <w:p>
      <w:pPr>
        <w:pStyle w:val="46"/>
        <w:numPr>
          <w:ilvl w:val="0"/>
          <w:numId w:val="24"/>
        </w:numPr>
        <w:spacing w:before="120" w:after="120"/>
        <w:ind w:left="0" w:hanging="9"/>
        <w:rPr>
          <w:rFonts w:hint="eastAsia" w:ascii="宋体" w:hAnsi="宋体" w:eastAsia="宋体"/>
          <w:color w:val="auto"/>
          <w:highlight w:val="none"/>
        </w:rPr>
      </w:pPr>
      <w:bookmarkStart w:id="954" w:name="_Toc32341"/>
      <w:r>
        <w:rPr>
          <w:rFonts w:hint="eastAsia" w:ascii="宋体" w:hAnsi="宋体" w:eastAsia="宋体"/>
          <w:color w:val="auto"/>
          <w:highlight w:val="none"/>
        </w:rPr>
        <w:t>承诺及声明函</w:t>
      </w:r>
      <w:bookmarkEnd w:id="943"/>
      <w:bookmarkEnd w:id="944"/>
      <w:bookmarkEnd w:id="945"/>
      <w:bookmarkEnd w:id="954"/>
    </w:p>
    <w:p>
      <w:pPr>
        <w:pStyle w:val="44"/>
        <w:spacing w:line="520" w:lineRule="exact"/>
        <w:rPr>
          <w:color w:val="auto"/>
          <w:highlight w:val="none"/>
        </w:rPr>
      </w:pPr>
      <w:r>
        <w:rPr>
          <w:rFonts w:hint="eastAsia"/>
          <w:color w:val="auto"/>
          <w:highlight w:val="none"/>
          <w:u w:val="single"/>
        </w:rPr>
        <w:t xml:space="preserve">                   </w:t>
      </w:r>
      <w:r>
        <w:rPr>
          <w:rFonts w:hint="eastAsia"/>
          <w:color w:val="auto"/>
          <w:highlight w:val="none"/>
        </w:rPr>
        <w:t>(采购代理机构名称)：</w:t>
      </w:r>
    </w:p>
    <w:p>
      <w:pPr>
        <w:pStyle w:val="44"/>
        <w:spacing w:line="520" w:lineRule="exact"/>
        <w:ind w:firstLine="480" w:firstLineChars="200"/>
        <w:rPr>
          <w:color w:val="auto"/>
          <w:highlight w:val="none"/>
        </w:rPr>
      </w:pPr>
      <w:r>
        <w:rPr>
          <w:rFonts w:hint="eastAsia"/>
          <w:color w:val="auto"/>
          <w:highlight w:val="none"/>
        </w:rPr>
        <w:t>我公司作为本次采购项目的投标供应商，根据招标文件要求，现郑重承诺如下：</w:t>
      </w:r>
    </w:p>
    <w:p>
      <w:pPr>
        <w:pStyle w:val="37"/>
        <w:numPr>
          <w:ilvl w:val="2"/>
          <w:numId w:val="25"/>
        </w:numPr>
        <w:spacing w:line="520" w:lineRule="exact"/>
        <w:ind w:firstLine="480"/>
        <w:rPr>
          <w:color w:val="auto"/>
          <w:highlight w:val="none"/>
        </w:rPr>
      </w:pPr>
      <w:r>
        <w:rPr>
          <w:rFonts w:hint="eastAsia"/>
          <w:color w:val="auto"/>
          <w:highlight w:val="none"/>
        </w:rPr>
        <w:t xml:space="preserve">具有良好的商业信誉和健全的财务会计制度； </w:t>
      </w:r>
    </w:p>
    <w:p>
      <w:pPr>
        <w:pStyle w:val="37"/>
        <w:numPr>
          <w:ilvl w:val="2"/>
          <w:numId w:val="25"/>
        </w:numPr>
        <w:spacing w:line="520" w:lineRule="exact"/>
        <w:ind w:firstLine="480"/>
        <w:rPr>
          <w:color w:val="auto"/>
          <w:highlight w:val="none"/>
        </w:rPr>
      </w:pPr>
      <w:r>
        <w:rPr>
          <w:rFonts w:hint="eastAsia"/>
          <w:color w:val="auto"/>
          <w:highlight w:val="none"/>
        </w:rPr>
        <w:t xml:space="preserve">具有履行合同所必需的设备和专业技术能力； </w:t>
      </w:r>
    </w:p>
    <w:p>
      <w:pPr>
        <w:pStyle w:val="37"/>
        <w:numPr>
          <w:ilvl w:val="2"/>
          <w:numId w:val="25"/>
        </w:numPr>
        <w:spacing w:line="520" w:lineRule="exact"/>
        <w:ind w:firstLine="480"/>
        <w:rPr>
          <w:color w:val="auto"/>
          <w:highlight w:val="none"/>
        </w:rPr>
      </w:pPr>
      <w:r>
        <w:rPr>
          <w:rFonts w:hint="eastAsia"/>
          <w:color w:val="auto"/>
          <w:highlight w:val="none"/>
        </w:rPr>
        <w:t xml:space="preserve">具有依法缴纳税收和社会保障资金的良好记录； </w:t>
      </w:r>
    </w:p>
    <w:p>
      <w:pPr>
        <w:pStyle w:val="37"/>
        <w:numPr>
          <w:ilvl w:val="2"/>
          <w:numId w:val="25"/>
        </w:numPr>
        <w:spacing w:line="520" w:lineRule="exact"/>
        <w:ind w:firstLine="480"/>
        <w:rPr>
          <w:color w:val="auto"/>
          <w:highlight w:val="none"/>
        </w:rPr>
      </w:pPr>
      <w:r>
        <w:rPr>
          <w:rFonts w:hint="eastAsia"/>
          <w:color w:val="auto"/>
          <w:highlight w:val="none"/>
        </w:rPr>
        <w:t>参加本次</w:t>
      </w:r>
      <w:r>
        <w:rPr>
          <w:rFonts w:hint="eastAsia"/>
          <w:color w:val="auto"/>
          <w:highlight w:val="none"/>
          <w:lang w:eastAsia="zh-CN"/>
        </w:rPr>
        <w:t>采购</w:t>
      </w:r>
      <w:r>
        <w:rPr>
          <w:rFonts w:hint="eastAsia"/>
          <w:color w:val="auto"/>
          <w:highlight w:val="none"/>
        </w:rPr>
        <w:t>活动前三年内，在经营活动中没有重大违法记录(供应商成立不足三年的，从成立之日起计算)；</w:t>
      </w:r>
    </w:p>
    <w:p>
      <w:pPr>
        <w:pStyle w:val="37"/>
        <w:numPr>
          <w:ilvl w:val="2"/>
          <w:numId w:val="25"/>
        </w:numPr>
        <w:spacing w:line="520" w:lineRule="exact"/>
        <w:ind w:firstLine="480"/>
        <w:rPr>
          <w:color w:val="auto"/>
          <w:highlight w:val="none"/>
        </w:rPr>
      </w:pPr>
      <w:r>
        <w:rPr>
          <w:rFonts w:hint="eastAsia"/>
          <w:color w:val="auto"/>
          <w:highlight w:val="none"/>
        </w:rPr>
        <w:t>符合法律、行政法规规定的其他条件；</w:t>
      </w:r>
    </w:p>
    <w:p>
      <w:pPr>
        <w:pStyle w:val="37"/>
        <w:numPr>
          <w:ilvl w:val="2"/>
          <w:numId w:val="25"/>
        </w:numPr>
        <w:spacing w:line="520" w:lineRule="exact"/>
        <w:ind w:firstLine="480"/>
        <w:rPr>
          <w:color w:val="auto"/>
          <w:highlight w:val="none"/>
        </w:rPr>
      </w:pPr>
      <w:r>
        <w:rPr>
          <w:rFonts w:hint="eastAsia"/>
          <w:color w:val="auto"/>
          <w:highlight w:val="none"/>
        </w:rPr>
        <w:t>未与其他供应商组成联合体参加本项目投标。</w:t>
      </w:r>
    </w:p>
    <w:p>
      <w:pPr>
        <w:pStyle w:val="48"/>
        <w:spacing w:line="520" w:lineRule="exact"/>
        <w:rPr>
          <w:color w:val="auto"/>
          <w:highlight w:val="none"/>
        </w:rPr>
      </w:pPr>
      <w:r>
        <w:rPr>
          <w:rFonts w:hint="eastAsia"/>
          <w:color w:val="auto"/>
          <w:highlight w:val="none"/>
        </w:rPr>
        <w:t>本公司对上述承诺的内容事项真实性、合法性负责。如经查实上述承诺的内容事项存在虚假，我公司自愿接受以提供虚假材料谋取中标所带来的所有法律责任。</w:t>
      </w:r>
    </w:p>
    <w:p>
      <w:pPr>
        <w:pStyle w:val="44"/>
        <w:spacing w:line="520" w:lineRule="exact"/>
        <w:rPr>
          <w:color w:val="auto"/>
          <w:highlight w:val="none"/>
        </w:rPr>
      </w:pPr>
    </w:p>
    <w:p>
      <w:pPr>
        <w:pStyle w:val="44"/>
        <w:spacing w:line="520" w:lineRule="exact"/>
        <w:rPr>
          <w:color w:val="auto"/>
          <w:highlight w:val="none"/>
        </w:rPr>
      </w:pPr>
    </w:p>
    <w:p>
      <w:pPr>
        <w:pStyle w:val="48"/>
        <w:spacing w:line="520" w:lineRule="exact"/>
        <w:rPr>
          <w:color w:val="auto"/>
          <w:highlight w:val="none"/>
        </w:rPr>
      </w:pPr>
      <w:r>
        <w:rPr>
          <w:rFonts w:hint="eastAsia"/>
          <w:color w:val="auto"/>
          <w:highlight w:val="none"/>
        </w:rPr>
        <w:t>投标人名称：</w:t>
      </w:r>
      <w:r>
        <w:rPr>
          <w:rFonts w:hint="eastAsia"/>
          <w:color w:val="auto"/>
          <w:highlight w:val="none"/>
          <w:u w:val="single"/>
        </w:rPr>
        <w:t xml:space="preserve">             </w:t>
      </w:r>
      <w:r>
        <w:rPr>
          <w:rFonts w:hint="eastAsia"/>
          <w:color w:val="auto"/>
          <w:highlight w:val="none"/>
        </w:rPr>
        <w:t>(盖章)</w:t>
      </w:r>
    </w:p>
    <w:p>
      <w:pPr>
        <w:pStyle w:val="48"/>
        <w:spacing w:line="520" w:lineRule="exact"/>
        <w:rPr>
          <w:color w:val="auto"/>
          <w:highlight w:val="none"/>
        </w:rPr>
      </w:pPr>
      <w:r>
        <w:rPr>
          <w:rFonts w:hint="eastAsia"/>
          <w:color w:val="auto"/>
          <w:highlight w:val="none"/>
        </w:rPr>
        <w:t>法定代表人/单位负责人或授权代表：</w:t>
      </w:r>
      <w:r>
        <w:rPr>
          <w:rFonts w:hint="eastAsia"/>
          <w:color w:val="auto"/>
          <w:highlight w:val="none"/>
          <w:u w:val="single"/>
        </w:rPr>
        <w:t xml:space="preserve">            </w:t>
      </w:r>
      <w:r>
        <w:rPr>
          <w:rFonts w:hint="eastAsia"/>
          <w:color w:val="auto"/>
          <w:highlight w:val="none"/>
        </w:rPr>
        <w:t>(签字或盖章)</w:t>
      </w:r>
    </w:p>
    <w:p>
      <w:pPr>
        <w:pStyle w:val="48"/>
        <w:spacing w:line="520" w:lineRule="exact"/>
        <w:rPr>
          <w:color w:val="auto"/>
          <w:highlight w:val="none"/>
        </w:rPr>
      </w:pPr>
      <w:r>
        <w:rPr>
          <w:rFonts w:hint="eastAsia"/>
          <w:color w:val="auto"/>
          <w:highlight w:val="none"/>
        </w:rPr>
        <w:t>投标日期：</w:t>
      </w:r>
      <w:r>
        <w:rPr>
          <w:rFonts w:hint="eastAsia"/>
          <w:color w:val="auto"/>
          <w:highlight w:val="none"/>
          <w:u w:val="single"/>
        </w:rPr>
        <w:t xml:space="preserve">                </w:t>
      </w:r>
      <w:r>
        <w:rPr>
          <w:rFonts w:hint="eastAsia"/>
          <w:color w:val="auto"/>
          <w:highlight w:val="none"/>
        </w:rPr>
        <w:t xml:space="preserve">  </w:t>
      </w:r>
    </w:p>
    <w:p>
      <w:pPr>
        <w:pStyle w:val="49"/>
        <w:spacing w:line="520" w:lineRule="exact"/>
        <w:ind w:firstLine="482"/>
        <w:rPr>
          <w:color w:val="auto"/>
          <w:highlight w:val="none"/>
        </w:rPr>
      </w:pPr>
      <w:r>
        <w:rPr>
          <w:rFonts w:hint="eastAsia"/>
          <w:color w:val="auto"/>
          <w:highlight w:val="none"/>
        </w:rPr>
        <w:t>注：本章第一部分所要求的承诺函可参照本格式或自拟格式填写均有效。</w:t>
      </w:r>
      <w:bookmarkStart w:id="955" w:name="_Toc14607"/>
      <w:bookmarkStart w:id="956" w:name="_Toc18702"/>
    </w:p>
    <w:p>
      <w:pPr>
        <w:rPr>
          <w:color w:val="auto"/>
          <w:sz w:val="32"/>
          <w:szCs w:val="32"/>
          <w:highlight w:val="none"/>
        </w:rPr>
      </w:pPr>
      <w:r>
        <w:rPr>
          <w:rFonts w:hint="eastAsia"/>
          <w:color w:val="auto"/>
          <w:sz w:val="32"/>
          <w:szCs w:val="32"/>
          <w:highlight w:val="none"/>
        </w:rPr>
        <w:br w:type="page"/>
      </w:r>
    </w:p>
    <w:p>
      <w:pPr>
        <w:pStyle w:val="36"/>
        <w:numPr>
          <w:ilvl w:val="1"/>
          <w:numId w:val="0"/>
        </w:numPr>
        <w:jc w:val="center"/>
        <w:outlineLvl w:val="9"/>
        <w:rPr>
          <w:color w:val="auto"/>
          <w:sz w:val="32"/>
          <w:szCs w:val="32"/>
          <w:highlight w:val="none"/>
        </w:rPr>
      </w:pPr>
    </w:p>
    <w:p>
      <w:pPr>
        <w:pStyle w:val="36"/>
        <w:numPr>
          <w:ilvl w:val="1"/>
          <w:numId w:val="0"/>
        </w:numPr>
        <w:jc w:val="center"/>
        <w:outlineLvl w:val="9"/>
        <w:rPr>
          <w:color w:val="auto"/>
          <w:sz w:val="32"/>
          <w:szCs w:val="32"/>
          <w:highlight w:val="none"/>
        </w:rPr>
      </w:pPr>
    </w:p>
    <w:p>
      <w:pPr>
        <w:pStyle w:val="36"/>
        <w:numPr>
          <w:ilvl w:val="1"/>
          <w:numId w:val="0"/>
        </w:numPr>
        <w:jc w:val="center"/>
        <w:outlineLvl w:val="9"/>
        <w:rPr>
          <w:color w:val="auto"/>
          <w:sz w:val="32"/>
          <w:szCs w:val="32"/>
          <w:highlight w:val="none"/>
        </w:rPr>
      </w:pPr>
    </w:p>
    <w:p>
      <w:pPr>
        <w:pStyle w:val="36"/>
        <w:numPr>
          <w:ilvl w:val="1"/>
          <w:numId w:val="0"/>
        </w:numPr>
        <w:jc w:val="center"/>
        <w:outlineLvl w:val="9"/>
        <w:rPr>
          <w:color w:val="auto"/>
          <w:sz w:val="32"/>
          <w:szCs w:val="32"/>
          <w:highlight w:val="none"/>
        </w:rPr>
      </w:pPr>
    </w:p>
    <w:p>
      <w:pPr>
        <w:pStyle w:val="36"/>
        <w:numPr>
          <w:ilvl w:val="1"/>
          <w:numId w:val="0"/>
        </w:numPr>
        <w:jc w:val="center"/>
        <w:outlineLvl w:val="9"/>
        <w:rPr>
          <w:color w:val="auto"/>
          <w:sz w:val="32"/>
          <w:szCs w:val="32"/>
          <w:highlight w:val="none"/>
        </w:rPr>
      </w:pPr>
    </w:p>
    <w:p>
      <w:pPr>
        <w:pStyle w:val="36"/>
        <w:numPr>
          <w:ilvl w:val="1"/>
          <w:numId w:val="0"/>
        </w:numPr>
        <w:jc w:val="center"/>
        <w:outlineLvl w:val="9"/>
        <w:rPr>
          <w:color w:val="auto"/>
          <w:sz w:val="32"/>
          <w:szCs w:val="32"/>
          <w:highlight w:val="none"/>
        </w:rPr>
      </w:pPr>
    </w:p>
    <w:p>
      <w:pPr>
        <w:pStyle w:val="36"/>
        <w:numPr>
          <w:ilvl w:val="1"/>
          <w:numId w:val="0"/>
        </w:numPr>
        <w:jc w:val="center"/>
        <w:outlineLvl w:val="9"/>
        <w:rPr>
          <w:color w:val="auto"/>
          <w:sz w:val="32"/>
          <w:szCs w:val="32"/>
          <w:highlight w:val="none"/>
        </w:rPr>
      </w:pPr>
    </w:p>
    <w:p>
      <w:pPr>
        <w:pStyle w:val="36"/>
        <w:numPr>
          <w:ilvl w:val="1"/>
          <w:numId w:val="0"/>
        </w:numPr>
        <w:jc w:val="center"/>
        <w:outlineLvl w:val="9"/>
        <w:rPr>
          <w:color w:val="auto"/>
          <w:sz w:val="32"/>
          <w:szCs w:val="32"/>
          <w:highlight w:val="none"/>
        </w:rPr>
      </w:pPr>
    </w:p>
    <w:p>
      <w:pPr>
        <w:pStyle w:val="36"/>
        <w:numPr>
          <w:ilvl w:val="1"/>
          <w:numId w:val="0"/>
        </w:numPr>
        <w:jc w:val="center"/>
        <w:outlineLvl w:val="9"/>
        <w:rPr>
          <w:color w:val="auto"/>
          <w:sz w:val="32"/>
          <w:szCs w:val="32"/>
          <w:highlight w:val="none"/>
        </w:rPr>
      </w:pPr>
    </w:p>
    <w:p>
      <w:pPr>
        <w:pStyle w:val="36"/>
        <w:numPr>
          <w:ilvl w:val="1"/>
          <w:numId w:val="0"/>
        </w:numPr>
        <w:jc w:val="center"/>
        <w:outlineLvl w:val="9"/>
        <w:rPr>
          <w:color w:val="auto"/>
          <w:sz w:val="32"/>
          <w:szCs w:val="32"/>
          <w:highlight w:val="none"/>
        </w:rPr>
      </w:pPr>
    </w:p>
    <w:p>
      <w:pPr>
        <w:pStyle w:val="36"/>
        <w:numPr>
          <w:ilvl w:val="1"/>
          <w:numId w:val="0"/>
        </w:numPr>
        <w:jc w:val="center"/>
        <w:outlineLvl w:val="9"/>
        <w:rPr>
          <w:color w:val="auto"/>
          <w:sz w:val="32"/>
          <w:szCs w:val="32"/>
          <w:highlight w:val="none"/>
        </w:rPr>
      </w:pPr>
    </w:p>
    <w:p>
      <w:pPr>
        <w:pStyle w:val="36"/>
        <w:numPr>
          <w:ilvl w:val="1"/>
          <w:numId w:val="0"/>
        </w:numPr>
        <w:jc w:val="center"/>
        <w:outlineLvl w:val="9"/>
        <w:rPr>
          <w:color w:val="auto"/>
          <w:sz w:val="32"/>
          <w:szCs w:val="32"/>
          <w:highlight w:val="none"/>
        </w:rPr>
      </w:pPr>
    </w:p>
    <w:p>
      <w:pPr>
        <w:pStyle w:val="36"/>
        <w:numPr>
          <w:ilvl w:val="1"/>
          <w:numId w:val="0"/>
        </w:numPr>
        <w:jc w:val="center"/>
        <w:outlineLvl w:val="9"/>
        <w:rPr>
          <w:color w:val="auto"/>
          <w:sz w:val="32"/>
          <w:szCs w:val="32"/>
          <w:highlight w:val="none"/>
        </w:rPr>
      </w:pPr>
    </w:p>
    <w:p>
      <w:pPr>
        <w:pStyle w:val="36"/>
        <w:numPr>
          <w:ilvl w:val="1"/>
          <w:numId w:val="0"/>
        </w:numPr>
        <w:jc w:val="center"/>
        <w:rPr>
          <w:color w:val="auto"/>
          <w:sz w:val="32"/>
          <w:szCs w:val="32"/>
          <w:highlight w:val="none"/>
        </w:rPr>
      </w:pPr>
      <w:bookmarkStart w:id="957" w:name="_Toc7637"/>
      <w:bookmarkStart w:id="958" w:name="_Toc886"/>
      <w:r>
        <w:rPr>
          <w:rFonts w:hint="eastAsia"/>
          <w:color w:val="auto"/>
          <w:sz w:val="32"/>
          <w:szCs w:val="32"/>
          <w:highlight w:val="none"/>
        </w:rPr>
        <w:t>第二部分 其他投标文件(格式)</w:t>
      </w:r>
      <w:bookmarkEnd w:id="955"/>
      <w:bookmarkEnd w:id="957"/>
      <w:bookmarkEnd w:id="958"/>
    </w:p>
    <w:p>
      <w:pPr>
        <w:pStyle w:val="44"/>
        <w:rPr>
          <w:color w:val="auto"/>
          <w:highlight w:val="none"/>
        </w:rPr>
      </w:pPr>
      <w:bookmarkStart w:id="959" w:name="_Toc26038"/>
      <w:r>
        <w:rPr>
          <w:rFonts w:hint="eastAsia"/>
          <w:color w:val="auto"/>
          <w:highlight w:val="none"/>
        </w:rPr>
        <w:br w:type="page"/>
      </w:r>
    </w:p>
    <w:p>
      <w:pPr>
        <w:pStyle w:val="46"/>
        <w:numPr>
          <w:ilvl w:val="0"/>
          <w:numId w:val="26"/>
        </w:numPr>
        <w:spacing w:before="120" w:after="120"/>
        <w:ind w:firstLine="0"/>
        <w:rPr>
          <w:color w:val="auto"/>
          <w:highlight w:val="none"/>
        </w:rPr>
      </w:pPr>
      <w:bookmarkStart w:id="960" w:name="_Toc28199"/>
      <w:bookmarkStart w:id="961" w:name="_Toc2311"/>
      <w:bookmarkStart w:id="962" w:name="_Toc5408"/>
      <w:r>
        <w:rPr>
          <w:rFonts w:hint="eastAsia"/>
          <w:color w:val="auto"/>
          <w:highlight w:val="none"/>
        </w:rPr>
        <w:t>投标函</w:t>
      </w:r>
      <w:bookmarkEnd w:id="956"/>
      <w:bookmarkEnd w:id="959"/>
      <w:bookmarkEnd w:id="960"/>
      <w:bookmarkEnd w:id="961"/>
      <w:bookmarkEnd w:id="962"/>
    </w:p>
    <w:p>
      <w:pPr>
        <w:pStyle w:val="44"/>
        <w:spacing w:line="520" w:lineRule="exact"/>
        <w:rPr>
          <w:color w:val="auto"/>
          <w:highlight w:val="none"/>
          <w:lang w:val="zh-CN"/>
        </w:rPr>
      </w:pPr>
      <w:r>
        <w:rPr>
          <w:rFonts w:hint="eastAsia"/>
          <w:color w:val="auto"/>
          <w:highlight w:val="none"/>
          <w:lang w:val="zh-CN"/>
        </w:rPr>
        <w:t>致：四川乾新招投标代理有限公司　</w:t>
      </w:r>
    </w:p>
    <w:p>
      <w:pPr>
        <w:pStyle w:val="48"/>
        <w:spacing w:line="520" w:lineRule="exact"/>
        <w:rPr>
          <w:color w:val="auto"/>
          <w:highlight w:val="none"/>
        </w:rPr>
      </w:pPr>
      <w:r>
        <w:rPr>
          <w:rFonts w:hint="eastAsia"/>
          <w:color w:val="auto"/>
          <w:highlight w:val="none"/>
        </w:rPr>
        <w:t>我方全面研究了“</w:t>
      </w:r>
      <w:r>
        <w:rPr>
          <w:rFonts w:hint="eastAsia"/>
          <w:color w:val="auto"/>
          <w:highlight w:val="none"/>
          <w:u w:val="single"/>
        </w:rPr>
        <w:t xml:space="preserve">               </w:t>
      </w:r>
      <w:r>
        <w:rPr>
          <w:rFonts w:hint="eastAsia"/>
          <w:color w:val="auto"/>
          <w:highlight w:val="none"/>
        </w:rPr>
        <w:t>(项目名称)(项目编号：</w:t>
      </w:r>
      <w:r>
        <w:rPr>
          <w:rFonts w:hint="eastAsia"/>
          <w:color w:val="auto"/>
          <w:highlight w:val="none"/>
          <w:u w:val="single"/>
        </w:rPr>
        <w:t xml:space="preserve">               </w:t>
      </w:r>
      <w:r>
        <w:rPr>
          <w:rFonts w:hint="eastAsia"/>
          <w:color w:val="auto"/>
          <w:highlight w:val="none"/>
        </w:rPr>
        <w:t>)”的招标文件，决定参加贵单位组织的本项目投标。我方授权</w:t>
      </w:r>
      <w:r>
        <w:rPr>
          <w:rFonts w:hint="eastAsia"/>
          <w:color w:val="auto"/>
          <w:highlight w:val="none"/>
          <w:u w:val="single"/>
        </w:rPr>
        <w:t xml:space="preserve">               </w:t>
      </w:r>
      <w:r>
        <w:rPr>
          <w:rFonts w:hint="eastAsia"/>
          <w:color w:val="auto"/>
          <w:highlight w:val="none"/>
        </w:rPr>
        <w:t>(姓名、职务)代表我方</w:t>
      </w:r>
      <w:r>
        <w:rPr>
          <w:rFonts w:hint="eastAsia"/>
          <w:color w:val="auto"/>
          <w:highlight w:val="none"/>
          <w:u w:val="single"/>
        </w:rPr>
        <w:t xml:space="preserve">               </w:t>
      </w:r>
      <w:r>
        <w:rPr>
          <w:rFonts w:hint="eastAsia"/>
          <w:color w:val="auto"/>
          <w:highlight w:val="none"/>
        </w:rPr>
        <w:t>(投标人名称)全权处理本项目投标的有关事宜。</w:t>
      </w:r>
    </w:p>
    <w:p>
      <w:pPr>
        <w:pStyle w:val="37"/>
        <w:numPr>
          <w:ilvl w:val="2"/>
          <w:numId w:val="27"/>
        </w:numPr>
        <w:spacing w:line="520" w:lineRule="exact"/>
        <w:ind w:firstLine="480"/>
        <w:rPr>
          <w:color w:val="auto"/>
          <w:highlight w:val="none"/>
        </w:rPr>
      </w:pPr>
      <w:r>
        <w:rPr>
          <w:rFonts w:hint="eastAsia"/>
          <w:color w:val="auto"/>
          <w:highlight w:val="none"/>
        </w:rPr>
        <w:t>我方自愿按照招标文件规定的各项要求向采购人提供所需货物及服务，投标</w:t>
      </w:r>
      <w:r>
        <w:rPr>
          <w:rFonts w:hint="eastAsia"/>
          <w:color w:val="auto"/>
          <w:highlight w:val="none"/>
          <w:lang w:val="en-US" w:eastAsia="zh-CN"/>
        </w:rPr>
        <w:t>报价详见开标一览表</w:t>
      </w:r>
      <w:r>
        <w:rPr>
          <w:rFonts w:hint="eastAsia"/>
          <w:color w:val="auto"/>
          <w:highlight w:val="none"/>
        </w:rPr>
        <w:t>，我方将严格履行合同规定的责任和义务，履约时间为</w:t>
      </w:r>
      <w:r>
        <w:rPr>
          <w:rFonts w:hint="eastAsia"/>
          <w:color w:val="auto"/>
          <w:highlight w:val="none"/>
          <w:u w:val="single"/>
        </w:rPr>
        <w:t xml:space="preserve">             </w:t>
      </w:r>
      <w:r>
        <w:rPr>
          <w:rFonts w:hint="eastAsia"/>
          <w:color w:val="auto"/>
          <w:highlight w:val="none"/>
        </w:rPr>
        <w:t>。</w:t>
      </w:r>
    </w:p>
    <w:p>
      <w:pPr>
        <w:pStyle w:val="37"/>
        <w:numPr>
          <w:ilvl w:val="2"/>
          <w:numId w:val="27"/>
        </w:numPr>
        <w:spacing w:line="520" w:lineRule="exact"/>
        <w:ind w:firstLine="480"/>
        <w:rPr>
          <w:color w:val="auto"/>
          <w:highlight w:val="none"/>
        </w:rPr>
      </w:pPr>
      <w:r>
        <w:rPr>
          <w:rFonts w:hint="eastAsia"/>
          <w:color w:val="auto"/>
          <w:highlight w:val="none"/>
        </w:rPr>
        <w:t>我方承诺：投标有效期为提交投标文件的截止之日起90日。</w:t>
      </w:r>
    </w:p>
    <w:p>
      <w:pPr>
        <w:pStyle w:val="37"/>
        <w:numPr>
          <w:ilvl w:val="2"/>
          <w:numId w:val="27"/>
        </w:numPr>
        <w:spacing w:line="520" w:lineRule="exact"/>
        <w:ind w:firstLine="480"/>
        <w:rPr>
          <w:color w:val="auto"/>
          <w:highlight w:val="none"/>
        </w:rPr>
      </w:pPr>
      <w:r>
        <w:rPr>
          <w:rFonts w:hint="eastAsia"/>
          <w:color w:val="auto"/>
          <w:highlight w:val="none"/>
        </w:rPr>
        <w:t>我方完全理解采购人不一定将合同授予最低报价的投标人的行为。</w:t>
      </w:r>
    </w:p>
    <w:p>
      <w:pPr>
        <w:pStyle w:val="37"/>
        <w:numPr>
          <w:ilvl w:val="2"/>
          <w:numId w:val="27"/>
        </w:numPr>
        <w:spacing w:line="520" w:lineRule="exact"/>
        <w:ind w:firstLine="480"/>
        <w:rPr>
          <w:color w:val="auto"/>
          <w:highlight w:val="none"/>
        </w:rPr>
      </w:pPr>
      <w:r>
        <w:rPr>
          <w:rFonts w:hint="eastAsia"/>
          <w:color w:val="auto"/>
          <w:highlight w:val="none"/>
        </w:rPr>
        <w:t>一旦我方中标：</w:t>
      </w:r>
    </w:p>
    <w:p>
      <w:pPr>
        <w:pStyle w:val="38"/>
        <w:spacing w:line="520" w:lineRule="exact"/>
        <w:ind w:firstLine="480"/>
        <w:rPr>
          <w:color w:val="auto"/>
          <w:highlight w:val="none"/>
        </w:rPr>
      </w:pPr>
      <w:r>
        <w:rPr>
          <w:rFonts w:hint="eastAsia"/>
          <w:color w:val="auto"/>
          <w:highlight w:val="none"/>
        </w:rPr>
        <w:t>我方承诺积极配合招标代理机构办理领取中标通知书事宜，同时在收到中标通知书后，在规定的期限内与采购人签订合同。</w:t>
      </w:r>
    </w:p>
    <w:p>
      <w:pPr>
        <w:pStyle w:val="38"/>
        <w:spacing w:line="520" w:lineRule="exact"/>
        <w:ind w:firstLine="480"/>
        <w:rPr>
          <w:color w:val="auto"/>
          <w:highlight w:val="none"/>
        </w:rPr>
      </w:pPr>
      <w:r>
        <w:rPr>
          <w:rFonts w:hint="eastAsia"/>
          <w:color w:val="auto"/>
          <w:highlight w:val="none"/>
        </w:rPr>
        <w:t>我方承诺按照招标文件规定的金额和方式向采购人缴纳履约保证金。</w:t>
      </w:r>
    </w:p>
    <w:p>
      <w:pPr>
        <w:pStyle w:val="38"/>
        <w:spacing w:line="520" w:lineRule="exact"/>
        <w:ind w:firstLine="480"/>
        <w:rPr>
          <w:color w:val="auto"/>
          <w:highlight w:val="none"/>
        </w:rPr>
      </w:pPr>
      <w:r>
        <w:rPr>
          <w:rFonts w:hint="eastAsia"/>
          <w:color w:val="auto"/>
          <w:highlight w:val="none"/>
        </w:rPr>
        <w:t>我方将严格履行</w:t>
      </w:r>
      <w:r>
        <w:rPr>
          <w:rFonts w:hint="eastAsia"/>
          <w:color w:val="auto"/>
          <w:highlight w:val="none"/>
          <w:lang w:eastAsia="zh-CN"/>
        </w:rPr>
        <w:t>采购合同</w:t>
      </w:r>
      <w:r>
        <w:rPr>
          <w:rFonts w:hint="eastAsia"/>
          <w:color w:val="auto"/>
          <w:highlight w:val="none"/>
        </w:rPr>
        <w:t>规定的责任和义务。</w:t>
      </w:r>
    </w:p>
    <w:p>
      <w:pPr>
        <w:pStyle w:val="38"/>
        <w:spacing w:line="520" w:lineRule="exact"/>
        <w:ind w:firstLine="480"/>
        <w:rPr>
          <w:color w:val="auto"/>
          <w:highlight w:val="none"/>
        </w:rPr>
      </w:pPr>
      <w:r>
        <w:rPr>
          <w:rFonts w:hint="eastAsia"/>
          <w:color w:val="auto"/>
          <w:highlight w:val="none"/>
        </w:rPr>
        <w:t>我方愿意提供与投标报价有关的文件资料，并保证我方已提供和将要提供的文件资料是真实、准确的。</w:t>
      </w:r>
    </w:p>
    <w:p>
      <w:pPr>
        <w:pStyle w:val="38"/>
        <w:spacing w:line="520" w:lineRule="exact"/>
        <w:ind w:firstLine="480"/>
        <w:rPr>
          <w:color w:val="auto"/>
          <w:highlight w:val="none"/>
        </w:rPr>
      </w:pPr>
      <w:r>
        <w:rPr>
          <w:rFonts w:hint="eastAsia"/>
          <w:color w:val="auto"/>
          <w:highlight w:val="none"/>
        </w:rPr>
        <w:t>我方自愿按照招标文件规定的各项要求完成采购项目，接受采购人按照</w:t>
      </w:r>
      <w:r>
        <w:rPr>
          <w:rFonts w:hint="eastAsia"/>
          <w:color w:val="auto"/>
          <w:highlight w:val="none"/>
          <w:lang w:eastAsia="zh-CN"/>
        </w:rPr>
        <w:t>采购合同</w:t>
      </w:r>
      <w:r>
        <w:rPr>
          <w:rFonts w:hint="eastAsia"/>
          <w:color w:val="auto"/>
          <w:highlight w:val="none"/>
        </w:rPr>
        <w:t>约定金额支付采购资金。</w:t>
      </w:r>
    </w:p>
    <w:p>
      <w:pPr>
        <w:pStyle w:val="38"/>
        <w:spacing w:line="520" w:lineRule="exact"/>
        <w:ind w:firstLine="480"/>
        <w:rPr>
          <w:color w:val="auto"/>
          <w:highlight w:val="none"/>
        </w:rPr>
      </w:pPr>
      <w:r>
        <w:rPr>
          <w:rFonts w:hint="eastAsia"/>
          <w:color w:val="auto"/>
          <w:highlight w:val="none"/>
        </w:rPr>
        <w:t>我方在参与本项目履约过程中涉及国家相关强制标准的，均按照该标准执行。</w:t>
      </w:r>
    </w:p>
    <w:p>
      <w:pPr>
        <w:pStyle w:val="37"/>
        <w:numPr>
          <w:ilvl w:val="2"/>
          <w:numId w:val="0"/>
        </w:numPr>
        <w:spacing w:line="520" w:lineRule="exact"/>
        <w:ind w:firstLine="480" w:firstLineChars="200"/>
        <w:rPr>
          <w:color w:val="auto"/>
          <w:highlight w:val="none"/>
        </w:rPr>
      </w:pPr>
      <w:r>
        <w:rPr>
          <w:rFonts w:hint="eastAsia"/>
          <w:color w:val="auto"/>
          <w:highlight w:val="none"/>
        </w:rPr>
        <w:t>5.我方在参加本次</w:t>
      </w:r>
      <w:r>
        <w:rPr>
          <w:rFonts w:hint="eastAsia"/>
          <w:color w:val="auto"/>
          <w:highlight w:val="none"/>
          <w:lang w:eastAsia="zh-CN"/>
        </w:rPr>
        <w:t>采购</w:t>
      </w:r>
      <w:r>
        <w:rPr>
          <w:rFonts w:hint="eastAsia"/>
          <w:color w:val="auto"/>
          <w:highlight w:val="none"/>
        </w:rPr>
        <w:t>活动中，涉及的询问、质疑、邮寄(快递)中标通知书等采购相关文书资料送达地址为：</w:t>
      </w:r>
      <w:r>
        <w:rPr>
          <w:rFonts w:hint="eastAsia"/>
          <w:color w:val="auto"/>
          <w:highlight w:val="none"/>
          <w:u w:val="single"/>
        </w:rPr>
        <w:t xml:space="preserve">                                     </w:t>
      </w:r>
      <w:r>
        <w:rPr>
          <w:rFonts w:hint="eastAsia"/>
          <w:color w:val="auto"/>
          <w:highlight w:val="none"/>
        </w:rPr>
        <w:t>；联系人：</w:t>
      </w:r>
      <w:r>
        <w:rPr>
          <w:rFonts w:hint="eastAsia"/>
          <w:color w:val="auto"/>
          <w:highlight w:val="none"/>
          <w:u w:val="single"/>
        </w:rPr>
        <w:t xml:space="preserve">           </w:t>
      </w:r>
      <w:r>
        <w:rPr>
          <w:rFonts w:hint="eastAsia"/>
          <w:color w:val="auto"/>
          <w:highlight w:val="none"/>
        </w:rPr>
        <w:t>；联系电话：</w:t>
      </w:r>
      <w:r>
        <w:rPr>
          <w:rFonts w:hint="eastAsia"/>
          <w:color w:val="auto"/>
          <w:highlight w:val="none"/>
          <w:u w:val="single"/>
        </w:rPr>
        <w:t xml:space="preserve">            </w:t>
      </w:r>
      <w:r>
        <w:rPr>
          <w:rFonts w:hint="eastAsia"/>
          <w:color w:val="auto"/>
          <w:highlight w:val="none"/>
        </w:rPr>
        <w:t>，如在采购结果公告发布前变更送达地址的，将及时以书面方式告知贵公司。</w:t>
      </w:r>
    </w:p>
    <w:p>
      <w:pPr>
        <w:pStyle w:val="37"/>
        <w:numPr>
          <w:ilvl w:val="2"/>
          <w:numId w:val="0"/>
        </w:numPr>
        <w:spacing w:line="520" w:lineRule="exact"/>
        <w:ind w:firstLine="480" w:firstLineChars="200"/>
        <w:rPr>
          <w:color w:val="auto"/>
          <w:highlight w:val="none"/>
        </w:rPr>
      </w:pPr>
      <w:r>
        <w:rPr>
          <w:rFonts w:hint="eastAsia"/>
          <w:color w:val="auto"/>
          <w:highlight w:val="none"/>
        </w:rPr>
        <w:t>5.1我方承诺：如未提供自己的送达地址，经招标代理机构告知后仍不提供的，自然人以其户籍登记中的住所地为送达地址</w:t>
      </w:r>
      <w:r>
        <w:rPr>
          <w:rFonts w:hint="eastAsia"/>
          <w:color w:val="auto"/>
          <w:highlight w:val="none"/>
          <w:lang w:eastAsia="zh-CN"/>
        </w:rPr>
        <w:t>；</w:t>
      </w:r>
      <w:r>
        <w:rPr>
          <w:rFonts w:hint="eastAsia"/>
          <w:color w:val="auto"/>
          <w:highlight w:val="none"/>
        </w:rPr>
        <w:t>法人或者其他组织以其工商登记或者其他依法登记、备案中的住所地为送达地址。</w:t>
      </w:r>
    </w:p>
    <w:p>
      <w:pPr>
        <w:pStyle w:val="37"/>
        <w:numPr>
          <w:ilvl w:val="2"/>
          <w:numId w:val="0"/>
        </w:numPr>
        <w:spacing w:line="520" w:lineRule="exact"/>
        <w:ind w:firstLine="480" w:firstLineChars="200"/>
        <w:rPr>
          <w:color w:val="auto"/>
          <w:highlight w:val="none"/>
        </w:rPr>
      </w:pPr>
      <w:r>
        <w:rPr>
          <w:rFonts w:hint="eastAsia"/>
          <w:color w:val="auto"/>
          <w:highlight w:val="none"/>
        </w:rPr>
        <w:t>5.2因我方提供的送达地址不准确、拒不提供送达地址、送达地址变更未及时告知招标代理机构、受送达人本人或者受送达人指定的代收人拒绝签收，导致采购文书等资料未能被受送达人实际接收的，采购文书退回之日视为送达之日。邮寄送达的，邮件回执上注明的退回之日视为送达之日；直接送达的，送达人当场在送达回执上签收之日视为送达之日。</w:t>
      </w:r>
    </w:p>
    <w:p>
      <w:pPr>
        <w:pStyle w:val="37"/>
        <w:numPr>
          <w:ilvl w:val="2"/>
          <w:numId w:val="0"/>
        </w:numPr>
        <w:spacing w:line="520" w:lineRule="exact"/>
        <w:ind w:firstLine="480" w:firstLineChars="200"/>
        <w:rPr>
          <w:color w:val="auto"/>
          <w:highlight w:val="none"/>
          <w:lang w:val="zh-CN"/>
        </w:rPr>
      </w:pPr>
      <w:r>
        <w:rPr>
          <w:rFonts w:hint="eastAsia"/>
          <w:color w:val="auto"/>
          <w:highlight w:val="none"/>
        </w:rPr>
        <w:t>6.</w:t>
      </w:r>
      <w:r>
        <w:rPr>
          <w:rFonts w:hint="eastAsia"/>
          <w:color w:val="auto"/>
          <w:highlight w:val="none"/>
          <w:lang w:val="en-US" w:eastAsia="zh-CN"/>
        </w:rPr>
        <w:t>参照</w:t>
      </w:r>
      <w:r>
        <w:rPr>
          <w:rFonts w:hint="eastAsia"/>
          <w:color w:val="auto"/>
          <w:highlight w:val="none"/>
          <w:lang w:val="zh-CN"/>
        </w:rPr>
        <w:t>《中华人民共和国政府采购法实施条例》第四十三条的规定，公告内容应当包括主要中标标的的名称、规格型号、数量、单价、服务要求以及评审专家名单。</w:t>
      </w:r>
      <w:r>
        <w:rPr>
          <w:rFonts w:hint="eastAsia"/>
          <w:color w:val="auto"/>
          <w:highlight w:val="none"/>
        </w:rPr>
        <w:t>我方已</w:t>
      </w:r>
      <w:r>
        <w:rPr>
          <w:rFonts w:hint="eastAsia"/>
          <w:color w:val="auto"/>
          <w:highlight w:val="none"/>
          <w:lang w:val="zh-CN"/>
        </w:rPr>
        <w:t>将投标文件中涉及商业秘密和知识产权的内容进行标注和说明。若未进行标注和说明的，视为全部内容均可公布，采购人或者采购代理机构对此不承担任何责任。</w:t>
      </w:r>
    </w:p>
    <w:p>
      <w:pPr>
        <w:pStyle w:val="37"/>
        <w:numPr>
          <w:ilvl w:val="2"/>
          <w:numId w:val="0"/>
        </w:numPr>
        <w:spacing w:line="520" w:lineRule="exact"/>
        <w:ind w:firstLine="480" w:firstLineChars="200"/>
        <w:rPr>
          <w:color w:val="auto"/>
          <w:highlight w:val="none"/>
        </w:rPr>
      </w:pPr>
      <w:r>
        <w:rPr>
          <w:rFonts w:hint="eastAsia"/>
          <w:color w:val="auto"/>
          <w:highlight w:val="none"/>
        </w:rPr>
        <w:t>7.我方</w:t>
      </w:r>
      <w:r>
        <w:rPr>
          <w:rFonts w:hint="eastAsia"/>
          <w:color w:val="auto"/>
          <w:highlight w:val="none"/>
          <w:u w:val="single"/>
        </w:rPr>
        <w:t xml:space="preserve">     </w:t>
      </w:r>
      <w:r>
        <w:rPr>
          <w:rFonts w:hint="eastAsia"/>
          <w:color w:val="auto"/>
          <w:highlight w:val="none"/>
        </w:rPr>
        <w:t>(“有”或“没有”)《关于对政府采购领域严重违法失信主体开展联合惩戒的合作备忘录》的通知(发改财金〔2018〕1614号)、</w:t>
      </w:r>
      <w:r>
        <w:rPr>
          <w:color w:val="auto"/>
          <w:highlight w:val="none"/>
        </w:rPr>
        <w:fldChar w:fldCharType="begin"/>
      </w:r>
      <w:r>
        <w:rPr>
          <w:color w:val="auto"/>
          <w:highlight w:val="none"/>
        </w:rPr>
        <w:instrText xml:space="preserve"> HYPERLINK "http://fgw.sc.gov.cn/sfgwsjd/c100029/2019/10/15/5344a76ba0804c13be19f2313f85bf8f.shtml" \t "http://fgw.sc.gov.cn/sfgwsjd/c100029/2019/10/15/_blank" \o "《四川省公共资源交易领域严重失信联合惩戒实施办法》政策解读" </w:instrText>
      </w:r>
      <w:r>
        <w:rPr>
          <w:color w:val="auto"/>
          <w:highlight w:val="none"/>
        </w:rPr>
        <w:fldChar w:fldCharType="separate"/>
      </w:r>
      <w:r>
        <w:rPr>
          <w:rFonts w:hint="eastAsia"/>
          <w:color w:val="auto"/>
          <w:highlight w:val="none"/>
        </w:rPr>
        <w:t>《四川省公共资源交易领域严重失信联合惩戒实施办法》</w:t>
      </w:r>
      <w:r>
        <w:rPr>
          <w:rFonts w:hint="eastAsia"/>
          <w:color w:val="auto"/>
          <w:highlight w:val="none"/>
        </w:rPr>
        <w:fldChar w:fldCharType="end"/>
      </w:r>
      <w:r>
        <w:rPr>
          <w:rFonts w:hint="eastAsia"/>
          <w:color w:val="auto"/>
          <w:highlight w:val="none"/>
        </w:rPr>
        <w:t>(川发改信用规〔2019〕405号)规定的记入诚信档案的严重失信行为。如有，请如实列举：1.2.3.</w:t>
      </w:r>
      <w:r>
        <w:rPr>
          <w:rFonts w:hint="eastAsia" w:ascii="微软雅黑" w:hAnsi="微软雅黑" w:eastAsia="微软雅黑" w:cs="微软雅黑"/>
          <w:color w:val="auto"/>
          <w:highlight w:val="none"/>
        </w:rPr>
        <w:t>……。</w:t>
      </w:r>
    </w:p>
    <w:p>
      <w:pPr>
        <w:pStyle w:val="37"/>
        <w:numPr>
          <w:ilvl w:val="2"/>
          <w:numId w:val="0"/>
        </w:numPr>
        <w:spacing w:line="520" w:lineRule="exact"/>
        <w:ind w:firstLine="480" w:firstLineChars="200"/>
        <w:rPr>
          <w:color w:val="auto"/>
          <w:highlight w:val="none"/>
        </w:rPr>
      </w:pPr>
      <w:r>
        <w:rPr>
          <w:rFonts w:hint="eastAsia"/>
          <w:color w:val="auto"/>
          <w:highlight w:val="none"/>
        </w:rPr>
        <w:t>8.我方如对招标文件有异议，已经在投标截止时间届满前依法进行维权救济，不存在对招标文件有异议的同时又参加投标以求侥幸中标或者为实现其他非法目的的行为。</w:t>
      </w:r>
    </w:p>
    <w:p>
      <w:pPr>
        <w:pStyle w:val="44"/>
        <w:ind w:firstLine="480" w:firstLineChars="200"/>
        <w:rPr>
          <w:color w:val="auto"/>
          <w:highlight w:val="none"/>
        </w:rPr>
      </w:pPr>
    </w:p>
    <w:p>
      <w:pPr>
        <w:pStyle w:val="44"/>
        <w:ind w:firstLine="480" w:firstLineChars="200"/>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(盖章)</w:t>
      </w:r>
    </w:p>
    <w:p>
      <w:pPr>
        <w:pStyle w:val="44"/>
        <w:ind w:firstLine="480" w:firstLineChars="200"/>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pStyle w:val="44"/>
        <w:ind w:firstLine="480" w:firstLineChars="200"/>
        <w:rPr>
          <w:color w:val="auto"/>
          <w:highlight w:val="none"/>
        </w:rPr>
      </w:pPr>
      <w:r>
        <w:rPr>
          <w:rFonts w:hint="eastAsia"/>
          <w:color w:val="auto"/>
          <w:highlight w:val="none"/>
        </w:rPr>
        <w:t>邮政编码：</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44"/>
        <w:ind w:firstLine="480" w:firstLineChars="200"/>
        <w:rPr>
          <w:color w:val="auto"/>
          <w:highlight w:val="none"/>
        </w:rPr>
      </w:pPr>
      <w:r>
        <w:rPr>
          <w:rFonts w:hint="eastAsia"/>
          <w:color w:val="auto"/>
          <w:highlight w:val="none"/>
        </w:rPr>
        <w:t>联系人：</w:t>
      </w:r>
      <w:r>
        <w:rPr>
          <w:rFonts w:hint="eastAsia" w:cs="宋体"/>
          <w:bCs/>
          <w:color w:val="auto"/>
          <w:highlight w:val="none"/>
          <w:u w:val="single"/>
        </w:rPr>
        <w:t xml:space="preserve">                 </w:t>
      </w:r>
    </w:p>
    <w:p>
      <w:pPr>
        <w:pStyle w:val="44"/>
        <w:ind w:firstLine="480" w:firstLineChars="200"/>
        <w:rPr>
          <w:color w:val="auto"/>
          <w:highlight w:val="none"/>
        </w:rPr>
      </w:pPr>
      <w:r>
        <w:rPr>
          <w:rFonts w:hint="eastAsia"/>
          <w:color w:val="auto"/>
          <w:highlight w:val="none"/>
        </w:rPr>
        <w:t>联系电话：</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44"/>
        <w:ind w:firstLine="480" w:firstLineChars="200"/>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rPr>
          <w:color w:val="auto"/>
          <w:highlight w:val="none"/>
        </w:rPr>
      </w:pPr>
      <w:r>
        <w:rPr>
          <w:rFonts w:hint="eastAsia"/>
          <w:color w:val="auto"/>
          <w:highlight w:val="none"/>
        </w:rPr>
        <w:br w:type="page"/>
      </w:r>
    </w:p>
    <w:p>
      <w:pPr>
        <w:pStyle w:val="46"/>
        <w:numPr>
          <w:ilvl w:val="0"/>
          <w:numId w:val="26"/>
        </w:numPr>
        <w:spacing w:before="120" w:after="120"/>
        <w:ind w:firstLine="0"/>
        <w:rPr>
          <w:color w:val="auto"/>
          <w:highlight w:val="none"/>
        </w:rPr>
      </w:pPr>
      <w:bookmarkStart w:id="963" w:name="_Toc22148"/>
      <w:bookmarkStart w:id="964" w:name="_Toc20318"/>
      <w:r>
        <w:rPr>
          <w:rFonts w:hint="eastAsia"/>
          <w:color w:val="auto"/>
          <w:highlight w:val="none"/>
        </w:rPr>
        <w:t>实质性要求承诺</w:t>
      </w:r>
      <w:bookmarkEnd w:id="963"/>
      <w:bookmarkEnd w:id="964"/>
    </w:p>
    <w:p>
      <w:pPr>
        <w:pStyle w:val="44"/>
        <w:spacing w:line="520" w:lineRule="exact"/>
        <w:rPr>
          <w:color w:val="auto"/>
          <w:highlight w:val="none"/>
        </w:rPr>
      </w:pPr>
      <w:r>
        <w:rPr>
          <w:rFonts w:hint="eastAsia"/>
          <w:color w:val="auto"/>
          <w:highlight w:val="none"/>
          <w:u w:val="single"/>
        </w:rPr>
        <w:t xml:space="preserve">                   </w:t>
      </w:r>
      <w:r>
        <w:rPr>
          <w:rFonts w:hint="eastAsia"/>
          <w:color w:val="auto"/>
          <w:highlight w:val="none"/>
        </w:rPr>
        <w:t>(采购代理机构名称)：</w:t>
      </w:r>
    </w:p>
    <w:p>
      <w:pPr>
        <w:pStyle w:val="48"/>
        <w:spacing w:line="520" w:lineRule="exact"/>
        <w:rPr>
          <w:color w:val="auto"/>
          <w:highlight w:val="none"/>
        </w:rPr>
      </w:pPr>
      <w:r>
        <w:rPr>
          <w:rFonts w:hint="eastAsia"/>
          <w:color w:val="auto"/>
          <w:highlight w:val="none"/>
        </w:rPr>
        <w:t>我方作为本次采购项目的投标人，根据招标文件要求，现郑重承诺及声明如下：</w:t>
      </w:r>
    </w:p>
    <w:p>
      <w:pPr>
        <w:pStyle w:val="37"/>
        <w:numPr>
          <w:ilvl w:val="2"/>
          <w:numId w:val="28"/>
        </w:numPr>
        <w:spacing w:line="520" w:lineRule="exact"/>
        <w:ind w:firstLine="480"/>
        <w:rPr>
          <w:color w:val="auto"/>
          <w:highlight w:val="none"/>
        </w:rPr>
      </w:pPr>
      <w:r>
        <w:rPr>
          <w:rFonts w:hint="eastAsia"/>
          <w:color w:val="auto"/>
          <w:highlight w:val="none"/>
        </w:rPr>
        <w:t>我方已认真阅读并</w:t>
      </w:r>
      <w:r>
        <w:rPr>
          <w:rFonts w:hint="eastAsia" w:cs="宋体"/>
          <w:color w:val="auto"/>
          <w:highlight w:val="none"/>
          <w:u w:val="single"/>
        </w:rPr>
        <w:t xml:space="preserve">      </w:t>
      </w:r>
      <w:r>
        <w:rPr>
          <w:rFonts w:hint="eastAsia" w:cs="宋体"/>
          <w:b/>
          <w:color w:val="auto"/>
          <w:highlight w:val="none"/>
          <w:u w:val="single"/>
        </w:rPr>
        <w:t>(说明：填写“接受”或“不接受”)</w:t>
      </w:r>
      <w:r>
        <w:rPr>
          <w:rFonts w:hint="eastAsia"/>
          <w:color w:val="auto"/>
          <w:highlight w:val="none"/>
        </w:rPr>
        <w:t>本项目招标文件的全部实质性要求(招标文件中明确要求需在投标时提供承诺函或具体证明材料进行响应的实质性要求除外)。</w:t>
      </w:r>
    </w:p>
    <w:p>
      <w:pPr>
        <w:pStyle w:val="37"/>
        <w:numPr>
          <w:ilvl w:val="2"/>
          <w:numId w:val="28"/>
        </w:numPr>
        <w:spacing w:line="520" w:lineRule="exact"/>
        <w:ind w:firstLine="480"/>
        <w:rPr>
          <w:color w:val="auto"/>
          <w:highlight w:val="none"/>
        </w:rPr>
      </w:pPr>
      <w:r>
        <w:rPr>
          <w:rFonts w:hint="eastAsia"/>
          <w:color w:val="auto"/>
          <w:highlight w:val="none"/>
        </w:rPr>
        <w:t>我方参加本次采购活动，</w:t>
      </w:r>
      <w:r>
        <w:rPr>
          <w:rFonts w:hint="eastAsia" w:cs="宋体"/>
          <w:color w:val="auto"/>
          <w:highlight w:val="none"/>
          <w:u w:val="single"/>
        </w:rPr>
        <w:t xml:space="preserve">   </w:t>
      </w:r>
      <w:r>
        <w:rPr>
          <w:rFonts w:hint="eastAsia" w:cs="宋体"/>
          <w:b/>
          <w:color w:val="auto"/>
          <w:highlight w:val="none"/>
          <w:u w:val="single"/>
        </w:rPr>
        <w:t>(说明：填写“不存在”或“存在”)</w:t>
      </w:r>
      <w:r>
        <w:rPr>
          <w:rFonts w:hint="eastAsia"/>
          <w:color w:val="auto"/>
          <w:highlight w:val="none"/>
        </w:rPr>
        <w:t>与单位负责人为同一人或者存在直接控股、管理关系的其他供应商参与同一合同项下的</w:t>
      </w:r>
      <w:r>
        <w:rPr>
          <w:rFonts w:hint="eastAsia"/>
          <w:color w:val="auto"/>
          <w:highlight w:val="none"/>
          <w:lang w:eastAsia="zh-CN"/>
        </w:rPr>
        <w:t>采购</w:t>
      </w:r>
      <w:r>
        <w:rPr>
          <w:rFonts w:hint="eastAsia"/>
          <w:color w:val="auto"/>
          <w:highlight w:val="none"/>
        </w:rPr>
        <w:t>活动的行为。与我方存在直接控股关系的单位为：</w:t>
      </w:r>
      <w:r>
        <w:rPr>
          <w:rFonts w:hint="eastAsia" w:cs="宋体"/>
          <w:b/>
          <w:color w:val="auto"/>
          <w:highlight w:val="none"/>
          <w:u w:val="single"/>
        </w:rPr>
        <w:t xml:space="preserve">      (说明：填写“无”或“供应商名称)</w:t>
      </w:r>
      <w:r>
        <w:rPr>
          <w:rFonts w:hint="eastAsia"/>
          <w:color w:val="auto"/>
          <w:highlight w:val="none"/>
        </w:rPr>
        <w:t>；存在管理关系的单位为：</w:t>
      </w:r>
      <w:r>
        <w:rPr>
          <w:rFonts w:hint="eastAsia"/>
          <w:color w:val="auto"/>
          <w:highlight w:val="none"/>
          <w:u w:val="single"/>
        </w:rPr>
        <w:t xml:space="preserve"> </w:t>
      </w:r>
      <w:r>
        <w:rPr>
          <w:rFonts w:hint="eastAsia" w:cs="宋体"/>
          <w:b/>
          <w:color w:val="auto"/>
          <w:highlight w:val="none"/>
          <w:u w:val="single"/>
        </w:rPr>
        <w:t xml:space="preserve">  (说明：填写“无”或“供应商名称)</w:t>
      </w:r>
      <w:r>
        <w:rPr>
          <w:rFonts w:hint="eastAsia"/>
          <w:color w:val="auto"/>
          <w:highlight w:val="none"/>
        </w:rPr>
        <w:t>。</w:t>
      </w:r>
    </w:p>
    <w:p>
      <w:pPr>
        <w:pStyle w:val="37"/>
        <w:numPr>
          <w:ilvl w:val="2"/>
          <w:numId w:val="28"/>
        </w:numPr>
        <w:spacing w:line="520" w:lineRule="exact"/>
        <w:ind w:firstLine="480"/>
        <w:rPr>
          <w:color w:val="auto"/>
          <w:highlight w:val="none"/>
        </w:rPr>
      </w:pPr>
      <w:r>
        <w:rPr>
          <w:rFonts w:hint="eastAsia"/>
          <w:color w:val="auto"/>
          <w:highlight w:val="none"/>
        </w:rPr>
        <w:t>我方参加本次采购活动前本单位未对本次采购项目</w:t>
      </w:r>
      <w:r>
        <w:rPr>
          <w:rFonts w:hint="eastAsia" w:cs="宋体"/>
          <w:b/>
          <w:bCs/>
          <w:color w:val="auto"/>
          <w:highlight w:val="none"/>
          <w:u w:val="single"/>
        </w:rPr>
        <w:t xml:space="preserve">     </w:t>
      </w:r>
      <w:r>
        <w:rPr>
          <w:rFonts w:hint="eastAsia" w:cs="宋体"/>
          <w:b/>
          <w:bCs/>
          <w:color w:val="auto"/>
          <w:highlight w:val="none"/>
          <w:u w:val="single"/>
          <w:lang w:val="zh-CN"/>
        </w:rPr>
        <w:t>(说明：填写“</w:t>
      </w:r>
      <w:r>
        <w:rPr>
          <w:rFonts w:hint="eastAsia" w:cs="宋体"/>
          <w:b/>
          <w:bCs/>
          <w:color w:val="auto"/>
          <w:highlight w:val="none"/>
          <w:u w:val="single"/>
        </w:rPr>
        <w:t>未</w:t>
      </w:r>
      <w:r>
        <w:rPr>
          <w:rFonts w:hint="eastAsia" w:cs="宋体"/>
          <w:b/>
          <w:bCs/>
          <w:color w:val="auto"/>
          <w:highlight w:val="none"/>
          <w:u w:val="single"/>
          <w:lang w:val="zh-CN"/>
        </w:rPr>
        <w:t>提供”或“提供”)</w:t>
      </w:r>
      <w:r>
        <w:rPr>
          <w:rFonts w:hint="eastAsia"/>
          <w:color w:val="auto"/>
          <w:highlight w:val="none"/>
        </w:rPr>
        <w:t>过整体设计、规范编制或者项目管理、监理、检测等服务。</w:t>
      </w:r>
    </w:p>
    <w:p>
      <w:pPr>
        <w:pStyle w:val="37"/>
        <w:numPr>
          <w:ilvl w:val="2"/>
          <w:numId w:val="28"/>
        </w:numPr>
        <w:spacing w:line="520" w:lineRule="exact"/>
        <w:ind w:firstLine="480"/>
        <w:rPr>
          <w:color w:val="auto"/>
          <w:highlight w:val="none"/>
        </w:rPr>
      </w:pPr>
      <w:r>
        <w:rPr>
          <w:rFonts w:hint="eastAsia"/>
          <w:color w:val="auto"/>
          <w:highlight w:val="none"/>
        </w:rPr>
        <w:t>我方参加本次采购活动，</w:t>
      </w:r>
      <w:r>
        <w:rPr>
          <w:rFonts w:hint="eastAsia" w:cs="宋体"/>
          <w:color w:val="auto"/>
          <w:highlight w:val="none"/>
          <w:u w:val="single"/>
        </w:rPr>
        <w:t xml:space="preserve">     </w:t>
      </w:r>
      <w:r>
        <w:rPr>
          <w:rFonts w:hint="eastAsia" w:cs="宋体"/>
          <w:b/>
          <w:color w:val="auto"/>
          <w:highlight w:val="none"/>
          <w:u w:val="single"/>
        </w:rPr>
        <w:t>(说明：填写“不存在”或“存在”)</w:t>
      </w:r>
      <w:r>
        <w:rPr>
          <w:rFonts w:hint="eastAsia"/>
          <w:color w:val="auto"/>
          <w:highlight w:val="none"/>
        </w:rPr>
        <w:t>我单位实际控制人或者中高级管理人员是本项目采购代理机构的工作人员的情形。</w:t>
      </w:r>
    </w:p>
    <w:p>
      <w:pPr>
        <w:pStyle w:val="37"/>
        <w:numPr>
          <w:ilvl w:val="2"/>
          <w:numId w:val="28"/>
        </w:numPr>
        <w:spacing w:line="520" w:lineRule="exact"/>
        <w:ind w:firstLine="480"/>
        <w:rPr>
          <w:color w:val="auto"/>
          <w:highlight w:val="none"/>
        </w:rPr>
      </w:pPr>
      <w:r>
        <w:rPr>
          <w:rFonts w:hint="eastAsia"/>
          <w:color w:val="auto"/>
          <w:highlight w:val="none"/>
        </w:rPr>
        <w:t>我方参加本次采购活动，</w:t>
      </w:r>
      <w:r>
        <w:rPr>
          <w:rFonts w:hint="eastAsia" w:cs="宋体"/>
          <w:color w:val="auto"/>
          <w:highlight w:val="none"/>
          <w:u w:val="single"/>
        </w:rPr>
        <w:t xml:space="preserve">     </w:t>
      </w:r>
      <w:r>
        <w:rPr>
          <w:rFonts w:hint="eastAsia" w:cs="宋体"/>
          <w:b/>
          <w:color w:val="auto"/>
          <w:highlight w:val="none"/>
          <w:u w:val="single"/>
        </w:rPr>
        <w:t>(说明：填写“不存在”或“存在”)</w:t>
      </w:r>
      <w:r>
        <w:rPr>
          <w:rFonts w:hint="eastAsia"/>
          <w:color w:val="auto"/>
          <w:highlight w:val="none"/>
        </w:rPr>
        <w:t>同一母公司的两家以上的子公司以不同供应商身份同时参加本项目同一合同项下的采购活动的情形。</w:t>
      </w:r>
    </w:p>
    <w:p>
      <w:pPr>
        <w:pStyle w:val="37"/>
        <w:numPr>
          <w:ilvl w:val="2"/>
          <w:numId w:val="28"/>
        </w:numPr>
        <w:spacing w:line="520" w:lineRule="exact"/>
        <w:ind w:firstLine="480"/>
        <w:rPr>
          <w:color w:val="auto"/>
          <w:highlight w:val="none"/>
        </w:rPr>
      </w:pPr>
      <w:r>
        <w:rPr>
          <w:rFonts w:hint="eastAsia"/>
          <w:color w:val="auto"/>
          <w:highlight w:val="none"/>
        </w:rPr>
        <w:t>我方参加本次采购活动，与采购代理机构</w:t>
      </w:r>
      <w:r>
        <w:rPr>
          <w:rFonts w:hint="eastAsia" w:cs="宋体"/>
          <w:color w:val="auto"/>
          <w:highlight w:val="none"/>
          <w:u w:val="single"/>
        </w:rPr>
        <w:t xml:space="preserve">    </w:t>
      </w:r>
      <w:r>
        <w:rPr>
          <w:rFonts w:hint="eastAsia" w:cs="宋体"/>
          <w:b/>
          <w:color w:val="auto"/>
          <w:highlight w:val="none"/>
          <w:u w:val="single"/>
        </w:rPr>
        <w:t>(说明：填写“不存在”或“存在”)</w:t>
      </w:r>
      <w:r>
        <w:rPr>
          <w:rFonts w:hint="eastAsia"/>
          <w:color w:val="auto"/>
          <w:highlight w:val="none"/>
        </w:rPr>
        <w:t>关联关系，</w:t>
      </w:r>
      <w:r>
        <w:rPr>
          <w:rFonts w:hint="eastAsia" w:cs="宋体"/>
          <w:color w:val="auto"/>
          <w:highlight w:val="none"/>
          <w:u w:val="single"/>
        </w:rPr>
        <w:t xml:space="preserve">     </w:t>
      </w:r>
      <w:r>
        <w:rPr>
          <w:rFonts w:hint="eastAsia" w:cs="宋体"/>
          <w:b/>
          <w:color w:val="auto"/>
          <w:highlight w:val="none"/>
          <w:u w:val="single"/>
        </w:rPr>
        <w:t>(说明：填写“不是”或“是”)</w:t>
      </w:r>
      <w:r>
        <w:rPr>
          <w:rFonts w:hint="eastAsia"/>
          <w:color w:val="auto"/>
          <w:highlight w:val="none"/>
        </w:rPr>
        <w:t>采购代理机构的母公司或子公司。</w:t>
      </w:r>
    </w:p>
    <w:p>
      <w:pPr>
        <w:pStyle w:val="37"/>
        <w:numPr>
          <w:ilvl w:val="2"/>
          <w:numId w:val="28"/>
        </w:numPr>
        <w:spacing w:line="520" w:lineRule="exact"/>
        <w:ind w:firstLine="480"/>
        <w:rPr>
          <w:color w:val="auto"/>
          <w:highlight w:val="none"/>
        </w:rPr>
      </w:pPr>
      <w:r>
        <w:rPr>
          <w:rFonts w:hint="eastAsia"/>
          <w:color w:val="auto"/>
          <w:highlight w:val="none"/>
        </w:rPr>
        <w:t>我方参加本次采购活动，</w:t>
      </w:r>
      <w:r>
        <w:rPr>
          <w:rFonts w:hint="eastAsia" w:cs="宋体"/>
          <w:color w:val="auto"/>
          <w:highlight w:val="none"/>
          <w:u w:val="single"/>
        </w:rPr>
        <w:t xml:space="preserve">     </w:t>
      </w:r>
      <w:r>
        <w:rPr>
          <w:rFonts w:hint="eastAsia" w:cs="宋体"/>
          <w:b/>
          <w:color w:val="auto"/>
          <w:highlight w:val="none"/>
          <w:u w:val="single"/>
        </w:rPr>
        <w:t>(说明：填写“不存在”或“存在”)</w:t>
      </w:r>
      <w:r>
        <w:rPr>
          <w:rFonts w:hint="eastAsia"/>
          <w:color w:val="auto"/>
          <w:highlight w:val="none"/>
        </w:rPr>
        <w:t>和其他供应商在同一合同项下的采购项目中，同时委托同一个自然人、同一家庭的人员、同一单位的人员作为代理人的行为。</w:t>
      </w:r>
    </w:p>
    <w:p>
      <w:pPr>
        <w:pStyle w:val="37"/>
        <w:numPr>
          <w:ilvl w:val="2"/>
          <w:numId w:val="28"/>
        </w:numPr>
        <w:spacing w:line="520" w:lineRule="exact"/>
        <w:ind w:firstLine="480"/>
        <w:rPr>
          <w:color w:val="auto"/>
          <w:highlight w:val="none"/>
        </w:rPr>
      </w:pPr>
      <w:r>
        <w:rPr>
          <w:rFonts w:hint="eastAsia" w:cs="宋体"/>
          <w:color w:val="auto"/>
          <w:highlight w:val="none"/>
        </w:rPr>
        <w:t>我单位的响应文件</w:t>
      </w:r>
      <w:r>
        <w:rPr>
          <w:rFonts w:hint="eastAsia" w:cs="宋体"/>
          <w:color w:val="auto"/>
          <w:highlight w:val="none"/>
          <w:lang w:val="zh-CN"/>
        </w:rPr>
        <w:t>编制</w:t>
      </w:r>
      <w:r>
        <w:rPr>
          <w:rFonts w:hint="eastAsia" w:cs="宋体"/>
          <w:color w:val="auto"/>
          <w:highlight w:val="none"/>
        </w:rPr>
        <w:t>单位和个人分别为：</w:t>
      </w:r>
      <w:r>
        <w:rPr>
          <w:rFonts w:hint="eastAsia" w:cs="宋体"/>
          <w:b/>
          <w:bCs/>
          <w:snapToGrid/>
          <w:color w:val="auto"/>
          <w:highlight w:val="none"/>
          <w:u w:val="single"/>
        </w:rPr>
        <w:t xml:space="preserve">    </w:t>
      </w:r>
      <w:r>
        <w:rPr>
          <w:rFonts w:hint="eastAsia" w:cs="宋体"/>
          <w:b/>
          <w:bCs/>
          <w:snapToGrid/>
          <w:color w:val="auto"/>
          <w:highlight w:val="none"/>
          <w:u w:val="single"/>
          <w:lang w:val="zh-CN"/>
        </w:rPr>
        <w:t>(说明：填写“</w:t>
      </w:r>
      <w:r>
        <w:rPr>
          <w:rFonts w:hint="eastAsia" w:cs="宋体"/>
          <w:b/>
          <w:bCs/>
          <w:color w:val="auto"/>
          <w:highlight w:val="none"/>
          <w:u w:val="single"/>
          <w:lang w:val="zh-CN"/>
        </w:rPr>
        <w:t>编制</w:t>
      </w:r>
      <w:r>
        <w:rPr>
          <w:rFonts w:hint="eastAsia" w:cs="宋体"/>
          <w:b/>
          <w:bCs/>
          <w:color w:val="auto"/>
          <w:highlight w:val="none"/>
          <w:u w:val="single"/>
        </w:rPr>
        <w:t>单位</w:t>
      </w:r>
      <w:r>
        <w:rPr>
          <w:rFonts w:hint="eastAsia" w:cs="宋体"/>
          <w:b/>
          <w:bCs/>
          <w:snapToGrid/>
          <w:color w:val="auto"/>
          <w:highlight w:val="none"/>
          <w:u w:val="single"/>
          <w:lang w:val="zh-CN"/>
        </w:rPr>
        <w:t>名称)；</w:t>
      </w:r>
      <w:r>
        <w:rPr>
          <w:rFonts w:hint="eastAsia" w:cs="宋体"/>
          <w:b/>
          <w:bCs/>
          <w:color w:val="auto"/>
          <w:highlight w:val="none"/>
          <w:u w:val="single"/>
        </w:rPr>
        <w:t xml:space="preserve">         (</w:t>
      </w:r>
      <w:r>
        <w:rPr>
          <w:rFonts w:hint="eastAsia" w:cs="宋体"/>
          <w:b/>
          <w:bCs/>
          <w:snapToGrid/>
          <w:color w:val="auto"/>
          <w:highlight w:val="none"/>
          <w:u w:val="single"/>
          <w:lang w:val="zh-CN"/>
        </w:rPr>
        <w:t>说明：</w:t>
      </w:r>
      <w:r>
        <w:rPr>
          <w:rFonts w:hint="eastAsia" w:cs="宋体"/>
          <w:b/>
          <w:bCs/>
          <w:snapToGrid/>
          <w:color w:val="auto"/>
          <w:highlight w:val="none"/>
          <w:u w:val="single"/>
        </w:rPr>
        <w:t>填写“</w:t>
      </w:r>
      <w:r>
        <w:rPr>
          <w:rFonts w:hint="eastAsia" w:cs="宋体"/>
          <w:b/>
          <w:bCs/>
          <w:color w:val="auto"/>
          <w:highlight w:val="none"/>
          <w:u w:val="single"/>
          <w:lang w:val="zh-CN"/>
        </w:rPr>
        <w:t>编制</w:t>
      </w:r>
      <w:r>
        <w:rPr>
          <w:rFonts w:hint="eastAsia" w:cs="宋体"/>
          <w:b/>
          <w:bCs/>
          <w:color w:val="auto"/>
          <w:highlight w:val="none"/>
          <w:u w:val="single"/>
        </w:rPr>
        <w:t>个人姓名”)。</w:t>
      </w:r>
    </w:p>
    <w:p>
      <w:pPr>
        <w:pStyle w:val="37"/>
        <w:numPr>
          <w:ilvl w:val="2"/>
          <w:numId w:val="28"/>
        </w:numPr>
        <w:spacing w:line="520" w:lineRule="exact"/>
        <w:ind w:firstLine="480"/>
        <w:rPr>
          <w:color w:val="auto"/>
          <w:highlight w:val="none"/>
        </w:rPr>
      </w:pPr>
      <w:r>
        <w:rPr>
          <w:rFonts w:hint="eastAsia"/>
          <w:color w:val="auto"/>
          <w:highlight w:val="none"/>
        </w:rPr>
        <w:t>我方投标文件中提供的任何资料和技术、服务、商务等响应承诺情况都是真实的、有效的、合法的。</w:t>
      </w:r>
    </w:p>
    <w:p>
      <w:pPr>
        <w:pStyle w:val="37"/>
        <w:numPr>
          <w:ilvl w:val="2"/>
          <w:numId w:val="28"/>
        </w:numPr>
        <w:spacing w:line="520" w:lineRule="exact"/>
        <w:ind w:firstLine="480"/>
        <w:rPr>
          <w:color w:val="auto"/>
          <w:highlight w:val="none"/>
        </w:rPr>
      </w:pPr>
      <w:r>
        <w:rPr>
          <w:rFonts w:hint="eastAsia"/>
          <w:color w:val="auto"/>
          <w:highlight w:val="none"/>
        </w:rPr>
        <w:t>我方参加本次采购活动，我方完全同意招标文件中关于“投标费用”、“合同分包”、“合同转包”、“合同定价方式”、“质量要求、履约验收”、“履约保证金”等实质性要求，并承诺严格按照招标文件</w:t>
      </w:r>
      <w:r>
        <w:rPr>
          <w:rFonts w:hint="eastAsia"/>
          <w:color w:val="auto"/>
          <w:highlight w:val="none"/>
          <w:lang w:eastAsia="zh-CN"/>
        </w:rPr>
        <w:t>采购合同</w:t>
      </w:r>
      <w:r>
        <w:rPr>
          <w:rFonts w:hint="eastAsia"/>
          <w:color w:val="auto"/>
          <w:highlight w:val="none"/>
        </w:rPr>
        <w:t>要求履行。</w:t>
      </w:r>
    </w:p>
    <w:p>
      <w:pPr>
        <w:pStyle w:val="37"/>
        <w:numPr>
          <w:ilvl w:val="2"/>
          <w:numId w:val="28"/>
        </w:numPr>
        <w:spacing w:line="520" w:lineRule="exact"/>
        <w:ind w:firstLine="480"/>
        <w:rPr>
          <w:color w:val="auto"/>
          <w:highlight w:val="none"/>
        </w:rPr>
      </w:pPr>
      <w:r>
        <w:rPr>
          <w:rFonts w:hint="eastAsia"/>
          <w:color w:val="auto"/>
          <w:highlight w:val="none"/>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color w:val="auto"/>
          <w:highlight w:val="none"/>
        </w:rPr>
        <w:t>承诺</w:t>
      </w:r>
      <w:r>
        <w:rPr>
          <w:rFonts w:hint="eastAsia"/>
          <w:color w:val="auto"/>
          <w:highlight w:val="none"/>
        </w:rPr>
        <w:t>提供相关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pStyle w:val="48"/>
        <w:spacing w:line="520" w:lineRule="exact"/>
        <w:rPr>
          <w:color w:val="auto"/>
          <w:highlight w:val="none"/>
        </w:rPr>
      </w:pPr>
      <w:r>
        <w:rPr>
          <w:rFonts w:hint="eastAsia"/>
          <w:color w:val="auto"/>
          <w:highlight w:val="none"/>
        </w:rPr>
        <w:t>我方对上述承诺的内容事项真实性、合法性负责。如经查实上述承诺的内容事项存在虚假，我方自愿接受以提供虚假材料谋取中标所带来的所有法律责任。</w:t>
      </w:r>
    </w:p>
    <w:p>
      <w:pPr>
        <w:pStyle w:val="44"/>
        <w:spacing w:line="520" w:lineRule="exact"/>
        <w:rPr>
          <w:color w:val="auto"/>
          <w:highlight w:val="none"/>
        </w:rPr>
      </w:pPr>
    </w:p>
    <w:p>
      <w:pPr>
        <w:pStyle w:val="44"/>
        <w:rPr>
          <w:color w:val="auto"/>
          <w:highlight w:val="none"/>
        </w:rPr>
      </w:pPr>
    </w:p>
    <w:p>
      <w:pPr>
        <w:pStyle w:val="44"/>
        <w:rPr>
          <w:color w:val="auto"/>
          <w:highlight w:val="none"/>
        </w:rPr>
      </w:pPr>
    </w:p>
    <w:p>
      <w:pPr>
        <w:pStyle w:val="48"/>
        <w:rPr>
          <w:color w:val="auto"/>
          <w:highlight w:val="none"/>
        </w:rPr>
      </w:pP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(盖章)</w:t>
      </w:r>
    </w:p>
    <w:p>
      <w:pPr>
        <w:pStyle w:val="48"/>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(签字或盖章)</w:t>
      </w:r>
    </w:p>
    <w:p>
      <w:pPr>
        <w:pStyle w:val="48"/>
        <w:rPr>
          <w:color w:val="auto"/>
          <w:highlight w:val="none"/>
        </w:rPr>
      </w:pPr>
      <w:r>
        <w:rPr>
          <w:rFonts w:hint="eastAsia"/>
          <w:color w:val="auto"/>
          <w:highlight w:val="none"/>
        </w:rPr>
        <w:t>投标日期：</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r>
        <w:rPr>
          <w:rFonts w:hint="eastAsia"/>
          <w:color w:val="auto"/>
          <w:highlight w:val="none"/>
        </w:rPr>
        <w:br w:type="page"/>
      </w:r>
    </w:p>
    <w:p>
      <w:pPr>
        <w:pStyle w:val="46"/>
        <w:numPr>
          <w:ilvl w:val="0"/>
          <w:numId w:val="26"/>
        </w:numPr>
        <w:spacing w:before="120" w:after="120"/>
        <w:ind w:firstLine="0"/>
        <w:rPr>
          <w:color w:val="auto"/>
          <w:highlight w:val="none"/>
        </w:rPr>
        <w:sectPr>
          <w:headerReference r:id="rId15" w:type="first"/>
          <w:footerReference r:id="rId17" w:type="first"/>
          <w:headerReference r:id="rId14" w:type="default"/>
          <w:footerReference r:id="rId16" w:type="default"/>
          <w:pgSz w:w="11906" w:h="16838"/>
          <w:pgMar w:top="1440" w:right="1080" w:bottom="1440" w:left="1080" w:header="851" w:footer="992" w:gutter="0"/>
          <w:pgNumType w:fmt="decimal"/>
          <w:cols w:space="0" w:num="1"/>
          <w:titlePg/>
          <w:docGrid w:linePitch="312" w:charSpace="0"/>
        </w:sectPr>
      </w:pPr>
      <w:bookmarkStart w:id="965" w:name="_Toc31800"/>
      <w:bookmarkStart w:id="966" w:name="_Toc17762"/>
    </w:p>
    <w:p>
      <w:pPr>
        <w:pStyle w:val="46"/>
        <w:numPr>
          <w:ilvl w:val="0"/>
          <w:numId w:val="26"/>
        </w:numPr>
        <w:bidi w:val="0"/>
        <w:ind w:left="0" w:leftChars="0" w:firstLine="0" w:firstLineChars="0"/>
        <w:rPr>
          <w:rFonts w:hint="eastAsia"/>
          <w:color w:val="auto"/>
          <w:highlight w:val="none"/>
          <w:lang w:val="en-US" w:eastAsia="zh-CN"/>
        </w:rPr>
      </w:pPr>
      <w:bookmarkStart w:id="967" w:name="_Toc4599"/>
      <w:bookmarkStart w:id="968" w:name="_Toc1959"/>
      <w:r>
        <w:rPr>
          <w:rFonts w:hint="eastAsia"/>
          <w:b/>
          <w:bCs/>
          <w:color w:val="auto"/>
          <w:highlight w:val="none"/>
          <w:u w:val="none"/>
        </w:rPr>
        <w:t>廉洁诚信承诺书</w:t>
      </w:r>
      <w:bookmarkEnd w:id="967"/>
      <w:bookmarkEnd w:id="968"/>
    </w:p>
    <w:p>
      <w:pPr>
        <w:pStyle w:val="44"/>
        <w:keepNext w:val="0"/>
        <w:keepLines w:val="0"/>
        <w:pageBreakBefore w:val="0"/>
        <w:widowControl w:val="0"/>
        <w:kinsoku/>
        <w:wordWrap w:val="0"/>
        <w:overflowPunct/>
        <w:topLinePunct/>
        <w:autoSpaceDE/>
        <w:autoSpaceDN/>
        <w:bidi w:val="0"/>
        <w:adjustRightInd w:val="0"/>
        <w:snapToGrid w:val="0"/>
        <w:textAlignment w:val="auto"/>
        <w:rPr>
          <w:rFonts w:hint="eastAsia"/>
          <w:color w:val="auto"/>
          <w:highlight w:val="none"/>
        </w:rPr>
      </w:pPr>
      <w:r>
        <w:rPr>
          <w:rFonts w:hint="eastAsia"/>
          <w:color w:val="auto"/>
          <w:highlight w:val="none"/>
          <w:u w:val="single"/>
        </w:rPr>
        <w:t xml:space="preserve">                   </w:t>
      </w:r>
      <w:r>
        <w:rPr>
          <w:rFonts w:hint="eastAsia"/>
          <w:color w:val="auto"/>
          <w:highlight w:val="none"/>
          <w:lang w:eastAsia="zh-CN"/>
        </w:rPr>
        <w:t>(</w:t>
      </w:r>
      <w:r>
        <w:rPr>
          <w:rFonts w:hint="eastAsia"/>
          <w:color w:val="auto"/>
          <w:highlight w:val="none"/>
        </w:rPr>
        <w:t>采购代理机构名称</w:t>
      </w:r>
      <w:r>
        <w:rPr>
          <w:rFonts w:hint="eastAsia"/>
          <w:color w:val="auto"/>
          <w:highlight w:val="none"/>
          <w:lang w:eastAsia="zh-CN"/>
        </w:rPr>
        <w:t>)</w:t>
      </w:r>
      <w:r>
        <w:rPr>
          <w:rFonts w:hint="eastAsia"/>
          <w:color w:val="auto"/>
          <w:highlight w:val="none"/>
        </w:rPr>
        <w:t>：</w:t>
      </w:r>
    </w:p>
    <w:p>
      <w:pPr>
        <w:pStyle w:val="48"/>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我</w:t>
      </w:r>
      <w:r>
        <w:rPr>
          <w:rFonts w:hint="eastAsia"/>
          <w:color w:val="auto"/>
          <w:highlight w:val="none"/>
          <w:lang w:val="en-US" w:eastAsia="zh-CN"/>
        </w:rPr>
        <w:t>方</w:t>
      </w:r>
      <w:r>
        <w:rPr>
          <w:rFonts w:hint="eastAsia"/>
          <w:color w:val="auto"/>
          <w:highlight w:val="none"/>
        </w:rPr>
        <w:t>作为本次采购项目的</w:t>
      </w:r>
      <w:r>
        <w:rPr>
          <w:rFonts w:hint="eastAsia"/>
          <w:color w:val="auto"/>
          <w:highlight w:val="none"/>
          <w:lang w:val="en-US" w:eastAsia="zh-CN"/>
        </w:rPr>
        <w:t>投标人</w:t>
      </w:r>
      <w:r>
        <w:rPr>
          <w:rFonts w:hint="eastAsia"/>
          <w:color w:val="auto"/>
          <w:highlight w:val="none"/>
        </w:rPr>
        <w:t>，根据</w:t>
      </w:r>
      <w:r>
        <w:rPr>
          <w:rFonts w:hint="eastAsia"/>
          <w:color w:val="auto"/>
          <w:highlight w:val="none"/>
          <w:lang w:val="en-US" w:eastAsia="zh-CN"/>
        </w:rPr>
        <w:t>招标</w:t>
      </w:r>
      <w:r>
        <w:rPr>
          <w:rFonts w:hint="eastAsia"/>
          <w:color w:val="auto"/>
          <w:highlight w:val="none"/>
          <w:lang w:eastAsia="zh-CN"/>
        </w:rPr>
        <w:t>文件</w:t>
      </w:r>
      <w:r>
        <w:rPr>
          <w:rFonts w:hint="eastAsia"/>
          <w:color w:val="auto"/>
          <w:highlight w:val="none"/>
        </w:rPr>
        <w:t>要求，现郑重承诺及声明如下：</w:t>
      </w:r>
    </w:p>
    <w:p>
      <w:pPr>
        <w:pStyle w:val="37"/>
        <w:keepNext w:val="0"/>
        <w:keepLines w:val="0"/>
        <w:pageBreakBefore w:val="0"/>
        <w:widowControl w:val="0"/>
        <w:numPr>
          <w:ilvl w:val="2"/>
          <w:numId w:val="29"/>
        </w:numPr>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不以任何方式行贿</w:t>
      </w:r>
      <w:r>
        <w:rPr>
          <w:rFonts w:hint="eastAsia"/>
          <w:color w:val="auto"/>
          <w:highlight w:val="none"/>
          <w:lang w:val="en-US" w:eastAsia="zh-CN"/>
        </w:rPr>
        <w:t>采购人的</w:t>
      </w:r>
      <w:r>
        <w:rPr>
          <w:rFonts w:hint="eastAsia"/>
          <w:color w:val="auto"/>
          <w:highlight w:val="none"/>
        </w:rPr>
        <w:t>工作人员及其配偶</w:t>
      </w:r>
      <w:r>
        <w:rPr>
          <w:rFonts w:hint="eastAsia"/>
          <w:color w:val="auto"/>
          <w:highlight w:val="none"/>
          <w:lang w:eastAsia="zh-CN"/>
        </w:rPr>
        <w:t>、</w:t>
      </w:r>
      <w:r>
        <w:rPr>
          <w:rFonts w:hint="eastAsia"/>
          <w:color w:val="auto"/>
          <w:highlight w:val="none"/>
        </w:rPr>
        <w:t>子女及其配偶等亲属和其他特定关系人，包括但不限于以下方式：</w:t>
      </w:r>
    </w:p>
    <w:p>
      <w:pPr>
        <w:pStyle w:val="37"/>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eastAsia="zh-CN"/>
        </w:rPr>
        <w:t>(</w:t>
      </w:r>
      <w:r>
        <w:rPr>
          <w:rFonts w:hint="eastAsia"/>
          <w:color w:val="auto"/>
          <w:highlight w:val="none"/>
        </w:rPr>
        <w:t>1</w:t>
      </w:r>
      <w:r>
        <w:rPr>
          <w:rFonts w:hint="eastAsia"/>
          <w:color w:val="auto"/>
          <w:highlight w:val="none"/>
          <w:lang w:eastAsia="zh-CN"/>
        </w:rPr>
        <w:t>)</w:t>
      </w:r>
      <w:r>
        <w:rPr>
          <w:rFonts w:hint="eastAsia"/>
          <w:color w:val="auto"/>
          <w:highlight w:val="none"/>
        </w:rPr>
        <w:t>不以任何形式</w:t>
      </w:r>
      <w:r>
        <w:rPr>
          <w:rFonts w:hint="eastAsia"/>
          <w:color w:val="auto"/>
          <w:highlight w:val="none"/>
          <w:lang w:val="en-US" w:eastAsia="zh-CN"/>
        </w:rPr>
        <w:t>向采购人的</w:t>
      </w:r>
      <w:r>
        <w:rPr>
          <w:rFonts w:hint="eastAsia"/>
          <w:color w:val="auto"/>
          <w:highlight w:val="none"/>
        </w:rPr>
        <w:t>工作人员馈赠礼品</w:t>
      </w:r>
      <w:r>
        <w:rPr>
          <w:rFonts w:hint="eastAsia"/>
          <w:color w:val="auto"/>
          <w:highlight w:val="none"/>
          <w:lang w:eastAsia="zh-CN"/>
        </w:rPr>
        <w:t>、</w:t>
      </w:r>
      <w:r>
        <w:rPr>
          <w:rFonts w:hint="eastAsia"/>
          <w:color w:val="auto"/>
          <w:highlight w:val="none"/>
        </w:rPr>
        <w:t>礼金</w:t>
      </w:r>
      <w:r>
        <w:rPr>
          <w:rFonts w:hint="eastAsia"/>
          <w:color w:val="auto"/>
          <w:highlight w:val="none"/>
          <w:lang w:eastAsia="zh-CN"/>
        </w:rPr>
        <w:t>、</w:t>
      </w:r>
      <w:r>
        <w:rPr>
          <w:rFonts w:hint="eastAsia"/>
          <w:color w:val="auto"/>
          <w:highlight w:val="none"/>
        </w:rPr>
        <w:t>消费卡</w:t>
      </w:r>
      <w:r>
        <w:rPr>
          <w:rFonts w:hint="eastAsia"/>
          <w:color w:val="auto"/>
          <w:highlight w:val="none"/>
          <w:lang w:eastAsia="zh-CN"/>
        </w:rPr>
        <w:t>、</w:t>
      </w:r>
      <w:r>
        <w:rPr>
          <w:rFonts w:hint="eastAsia"/>
          <w:color w:val="auto"/>
          <w:highlight w:val="none"/>
        </w:rPr>
        <w:t>有价证券</w:t>
      </w:r>
      <w:r>
        <w:rPr>
          <w:rFonts w:hint="eastAsia"/>
          <w:color w:val="auto"/>
          <w:highlight w:val="none"/>
          <w:lang w:eastAsia="zh-CN"/>
        </w:rPr>
        <w:t>、</w:t>
      </w:r>
      <w:r>
        <w:rPr>
          <w:rFonts w:hint="eastAsia"/>
          <w:color w:val="auto"/>
          <w:highlight w:val="none"/>
        </w:rPr>
        <w:t>股权</w:t>
      </w:r>
      <w:r>
        <w:rPr>
          <w:rFonts w:hint="eastAsia"/>
          <w:color w:val="auto"/>
          <w:highlight w:val="none"/>
          <w:lang w:eastAsia="zh-CN"/>
        </w:rPr>
        <w:t>、</w:t>
      </w:r>
      <w:r>
        <w:rPr>
          <w:rFonts w:hint="eastAsia"/>
          <w:color w:val="auto"/>
          <w:highlight w:val="none"/>
        </w:rPr>
        <w:t xml:space="preserve">其他金融产品等财物。 </w:t>
      </w:r>
    </w:p>
    <w:p>
      <w:pPr>
        <w:pStyle w:val="37"/>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(2)不组织、不邀请</w:t>
      </w:r>
      <w:r>
        <w:rPr>
          <w:rFonts w:hint="eastAsia"/>
          <w:color w:val="auto"/>
          <w:highlight w:val="none"/>
          <w:lang w:val="en-US" w:eastAsia="zh-CN"/>
        </w:rPr>
        <w:t>采购人</w:t>
      </w:r>
      <w:r>
        <w:rPr>
          <w:rFonts w:hint="eastAsia"/>
          <w:color w:val="auto"/>
          <w:highlight w:val="none"/>
          <w:lang w:eastAsia="zh-CN"/>
        </w:rPr>
        <w:t xml:space="preserve">工作人员参加旅游、高消费娱乐健身或到禁止召开会议的风景名胜区参加培训会议。 </w:t>
      </w:r>
    </w:p>
    <w:p>
      <w:pPr>
        <w:pStyle w:val="37"/>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 xml:space="preserve">(3)不利用代理商或中间人行贿。 </w:t>
      </w:r>
    </w:p>
    <w:p>
      <w:pPr>
        <w:pStyle w:val="37"/>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(4)不直接或间接向</w:t>
      </w:r>
      <w:r>
        <w:rPr>
          <w:rFonts w:hint="eastAsia"/>
          <w:color w:val="auto"/>
          <w:highlight w:val="none"/>
          <w:lang w:val="en-US" w:eastAsia="zh-CN"/>
        </w:rPr>
        <w:t>采购人</w:t>
      </w:r>
      <w:r>
        <w:rPr>
          <w:rFonts w:hint="eastAsia"/>
          <w:color w:val="auto"/>
          <w:highlight w:val="none"/>
          <w:lang w:eastAsia="zh-CN"/>
        </w:rPr>
        <w:t>工作人员及其配偶、子女及其配偶等亲属和其他特定关系人提供全职或兼职岗位包括代理人、顾问等。</w:t>
      </w:r>
    </w:p>
    <w:p>
      <w:pPr>
        <w:pStyle w:val="37"/>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(5)不与</w:t>
      </w:r>
      <w:r>
        <w:rPr>
          <w:rFonts w:hint="eastAsia"/>
          <w:color w:val="auto"/>
          <w:highlight w:val="none"/>
          <w:lang w:val="en-US" w:eastAsia="zh-CN"/>
        </w:rPr>
        <w:t>采购人的</w:t>
      </w:r>
      <w:r>
        <w:rPr>
          <w:rFonts w:hint="eastAsia"/>
          <w:color w:val="auto"/>
          <w:highlight w:val="none"/>
          <w:lang w:eastAsia="zh-CN"/>
        </w:rPr>
        <w:t>工作人员及其配偶、子女及其配偶等亲属和其他特定关系人发生任何借款/贷款往来。</w:t>
      </w:r>
    </w:p>
    <w:p>
      <w:pPr>
        <w:pStyle w:val="37"/>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(6)不向</w:t>
      </w:r>
      <w:r>
        <w:rPr>
          <w:rFonts w:hint="eastAsia"/>
          <w:color w:val="auto"/>
          <w:highlight w:val="none"/>
          <w:lang w:val="en-US" w:eastAsia="zh-CN"/>
        </w:rPr>
        <w:t>采购人的</w:t>
      </w:r>
      <w:r>
        <w:rPr>
          <w:rFonts w:hint="eastAsia"/>
          <w:color w:val="auto"/>
          <w:highlight w:val="none"/>
          <w:lang w:eastAsia="zh-CN"/>
        </w:rPr>
        <w:t>工作人员及其配偶、子女及其配偶等亲属和其他特定关系人输送不正当利益，或拉拢其参利益分配。</w:t>
      </w:r>
    </w:p>
    <w:p>
      <w:pPr>
        <w:pStyle w:val="37"/>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eastAsia="zh-CN"/>
        </w:rPr>
        <w:t>(7)杜</w:t>
      </w:r>
      <w:r>
        <w:rPr>
          <w:rFonts w:hint="eastAsia"/>
          <w:color w:val="auto"/>
          <w:highlight w:val="none"/>
        </w:rPr>
        <w:t>绝相关法律法规明确规定为行贿的行为。</w:t>
      </w:r>
    </w:p>
    <w:p>
      <w:pPr>
        <w:pStyle w:val="37"/>
        <w:keepNext w:val="0"/>
        <w:keepLines w:val="0"/>
        <w:pageBreakBefore w:val="0"/>
        <w:widowControl w:val="0"/>
        <w:numPr>
          <w:ilvl w:val="2"/>
          <w:numId w:val="29"/>
        </w:numPr>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支持</w:t>
      </w:r>
      <w:r>
        <w:rPr>
          <w:rFonts w:hint="eastAsia"/>
          <w:color w:val="auto"/>
          <w:highlight w:val="none"/>
          <w:lang w:val="en-US" w:eastAsia="zh-CN"/>
        </w:rPr>
        <w:t>采购人</w:t>
      </w:r>
      <w:r>
        <w:rPr>
          <w:rFonts w:hint="eastAsia"/>
          <w:color w:val="auto"/>
          <w:highlight w:val="none"/>
        </w:rPr>
        <w:t>廉政风险防控体系建设。若</w:t>
      </w:r>
      <w:r>
        <w:rPr>
          <w:rFonts w:hint="eastAsia"/>
          <w:color w:val="auto"/>
          <w:highlight w:val="none"/>
          <w:lang w:val="en-US" w:eastAsia="zh-CN"/>
        </w:rPr>
        <w:t>采购人的</w:t>
      </w:r>
      <w:r>
        <w:rPr>
          <w:rFonts w:hint="eastAsia"/>
          <w:color w:val="auto"/>
          <w:highlight w:val="none"/>
        </w:rPr>
        <w:t>工作人员在日常业务过程中有索贿行为，我单位必须拒绝，并向</w:t>
      </w:r>
      <w:r>
        <w:rPr>
          <w:rFonts w:hint="eastAsia"/>
          <w:color w:val="auto"/>
          <w:highlight w:val="none"/>
          <w:lang w:val="en-US" w:eastAsia="zh-CN"/>
        </w:rPr>
        <w:t>采购人</w:t>
      </w:r>
      <w:r>
        <w:rPr>
          <w:rFonts w:hint="eastAsia"/>
          <w:color w:val="auto"/>
          <w:highlight w:val="none"/>
        </w:rPr>
        <w:t>纪检</w:t>
      </w:r>
      <w:r>
        <w:rPr>
          <w:rFonts w:hint="eastAsia"/>
          <w:color w:val="auto"/>
          <w:highlight w:val="none"/>
          <w:lang w:val="en-US" w:eastAsia="zh-CN"/>
        </w:rPr>
        <w:t>监察</w:t>
      </w:r>
      <w:r>
        <w:rPr>
          <w:rFonts w:hint="eastAsia"/>
          <w:color w:val="auto"/>
          <w:highlight w:val="none"/>
        </w:rPr>
        <w:t>部门投诉。若我单位对</w:t>
      </w:r>
      <w:r>
        <w:rPr>
          <w:rFonts w:hint="eastAsia"/>
          <w:color w:val="auto"/>
          <w:highlight w:val="none"/>
          <w:lang w:val="en-US" w:eastAsia="zh-CN"/>
        </w:rPr>
        <w:t>采购人的</w:t>
      </w:r>
      <w:r>
        <w:rPr>
          <w:rFonts w:hint="eastAsia"/>
          <w:color w:val="auto"/>
          <w:highlight w:val="none"/>
        </w:rPr>
        <w:t>工作人员的索贿行为不拒绝</w:t>
      </w:r>
      <w:r>
        <w:rPr>
          <w:rFonts w:hint="eastAsia"/>
          <w:color w:val="auto"/>
          <w:highlight w:val="none"/>
          <w:lang w:eastAsia="zh-CN"/>
        </w:rPr>
        <w:t>、</w:t>
      </w:r>
      <w:r>
        <w:rPr>
          <w:rFonts w:hint="eastAsia"/>
          <w:color w:val="auto"/>
          <w:highlight w:val="none"/>
        </w:rPr>
        <w:t xml:space="preserve">不申报，或满足其要求，则该行为应视为我单位的行贿行为。 </w:t>
      </w:r>
    </w:p>
    <w:p>
      <w:pPr>
        <w:pStyle w:val="37"/>
        <w:keepNext w:val="0"/>
        <w:keepLines w:val="0"/>
        <w:pageBreakBefore w:val="0"/>
        <w:widowControl w:val="0"/>
        <w:numPr>
          <w:ilvl w:val="2"/>
          <w:numId w:val="29"/>
        </w:numPr>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 xml:space="preserve">在业务往来过程中，坚持诚信原则，我单位保证： </w:t>
      </w:r>
    </w:p>
    <w:p>
      <w:pPr>
        <w:pStyle w:val="37"/>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eastAsia="zh-CN"/>
        </w:rPr>
        <w:t>(</w:t>
      </w:r>
      <w:r>
        <w:rPr>
          <w:rFonts w:hint="eastAsia"/>
          <w:color w:val="auto"/>
          <w:highlight w:val="none"/>
        </w:rPr>
        <w:t>1</w:t>
      </w:r>
      <w:r>
        <w:rPr>
          <w:rFonts w:hint="eastAsia"/>
          <w:color w:val="auto"/>
          <w:highlight w:val="none"/>
          <w:lang w:eastAsia="zh-CN"/>
        </w:rPr>
        <w:t>)</w:t>
      </w:r>
      <w:r>
        <w:rPr>
          <w:rFonts w:hint="eastAsia"/>
          <w:color w:val="auto"/>
          <w:highlight w:val="none"/>
        </w:rPr>
        <w:t>提供的文件</w:t>
      </w:r>
      <w:r>
        <w:rPr>
          <w:rFonts w:hint="eastAsia"/>
          <w:color w:val="auto"/>
          <w:highlight w:val="none"/>
          <w:lang w:eastAsia="zh-CN"/>
        </w:rPr>
        <w:t>、</w:t>
      </w:r>
      <w:r>
        <w:rPr>
          <w:rFonts w:hint="eastAsia"/>
          <w:color w:val="auto"/>
          <w:highlight w:val="none"/>
        </w:rPr>
        <w:t>资料</w:t>
      </w:r>
      <w:r>
        <w:rPr>
          <w:rFonts w:hint="eastAsia"/>
          <w:color w:val="auto"/>
          <w:highlight w:val="none"/>
          <w:lang w:eastAsia="zh-CN"/>
        </w:rPr>
        <w:t>、</w:t>
      </w:r>
      <w:r>
        <w:rPr>
          <w:rFonts w:hint="eastAsia"/>
          <w:color w:val="auto"/>
          <w:highlight w:val="none"/>
        </w:rPr>
        <w:t>数据</w:t>
      </w:r>
      <w:r>
        <w:rPr>
          <w:rFonts w:hint="eastAsia"/>
          <w:color w:val="auto"/>
          <w:highlight w:val="none"/>
          <w:lang w:eastAsia="zh-CN"/>
        </w:rPr>
        <w:t>、</w:t>
      </w:r>
      <w:r>
        <w:rPr>
          <w:rFonts w:hint="eastAsia"/>
          <w:color w:val="auto"/>
          <w:highlight w:val="none"/>
        </w:rPr>
        <w:t>陈述和口头陈述等保证真实</w:t>
      </w:r>
      <w:r>
        <w:rPr>
          <w:rFonts w:hint="eastAsia"/>
          <w:color w:val="auto"/>
          <w:highlight w:val="none"/>
          <w:lang w:eastAsia="zh-CN"/>
        </w:rPr>
        <w:t>、</w:t>
      </w:r>
      <w:r>
        <w:rPr>
          <w:rFonts w:hint="eastAsia"/>
          <w:color w:val="auto"/>
          <w:highlight w:val="none"/>
        </w:rPr>
        <w:t xml:space="preserve">准确。 </w:t>
      </w:r>
    </w:p>
    <w:p>
      <w:pPr>
        <w:pStyle w:val="37"/>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rPr>
      </w:pPr>
      <w:r>
        <w:rPr>
          <w:rFonts w:hint="eastAsia"/>
          <w:color w:val="auto"/>
          <w:highlight w:val="none"/>
          <w:lang w:eastAsia="zh-CN"/>
        </w:rPr>
        <w:t>(</w:t>
      </w:r>
      <w:r>
        <w:rPr>
          <w:rFonts w:hint="eastAsia"/>
          <w:color w:val="auto"/>
          <w:highlight w:val="none"/>
        </w:rPr>
        <w:t>2</w:t>
      </w:r>
      <w:r>
        <w:rPr>
          <w:rFonts w:hint="eastAsia"/>
          <w:color w:val="auto"/>
          <w:highlight w:val="none"/>
          <w:lang w:eastAsia="zh-CN"/>
        </w:rPr>
        <w:t>)</w:t>
      </w:r>
      <w:r>
        <w:rPr>
          <w:rFonts w:hint="eastAsia"/>
          <w:color w:val="auto"/>
          <w:highlight w:val="none"/>
        </w:rPr>
        <w:t>严格遵守做出的承诺</w:t>
      </w:r>
      <w:r>
        <w:rPr>
          <w:rFonts w:hint="eastAsia"/>
          <w:color w:val="auto"/>
          <w:highlight w:val="none"/>
          <w:lang w:eastAsia="zh-CN"/>
        </w:rPr>
        <w:t>、</w:t>
      </w:r>
      <w:r>
        <w:rPr>
          <w:rFonts w:hint="eastAsia"/>
          <w:color w:val="auto"/>
          <w:highlight w:val="none"/>
        </w:rPr>
        <w:t>双方签署的合同</w:t>
      </w:r>
      <w:r>
        <w:rPr>
          <w:rFonts w:hint="eastAsia"/>
          <w:color w:val="auto"/>
          <w:highlight w:val="none"/>
          <w:lang w:eastAsia="zh-CN"/>
        </w:rPr>
        <w:t>、</w:t>
      </w:r>
      <w:r>
        <w:rPr>
          <w:rFonts w:hint="eastAsia"/>
          <w:color w:val="auto"/>
          <w:highlight w:val="none"/>
        </w:rPr>
        <w:t>协议和备忘录等，不隐瞒任何可能对</w:t>
      </w:r>
      <w:r>
        <w:rPr>
          <w:rFonts w:hint="eastAsia"/>
          <w:color w:val="auto"/>
          <w:highlight w:val="none"/>
          <w:lang w:val="en-US" w:eastAsia="zh-CN"/>
        </w:rPr>
        <w:t>采购人</w:t>
      </w:r>
      <w:r>
        <w:rPr>
          <w:rFonts w:hint="eastAsia"/>
          <w:color w:val="auto"/>
          <w:highlight w:val="none"/>
        </w:rPr>
        <w:t>利益造成影响的信息，积极配合</w:t>
      </w:r>
      <w:r>
        <w:rPr>
          <w:rFonts w:hint="eastAsia"/>
          <w:color w:val="auto"/>
          <w:highlight w:val="none"/>
          <w:lang w:val="en-US" w:eastAsia="zh-CN"/>
        </w:rPr>
        <w:t>采购人</w:t>
      </w:r>
      <w:r>
        <w:rPr>
          <w:rFonts w:hint="eastAsia"/>
          <w:color w:val="auto"/>
          <w:highlight w:val="none"/>
        </w:rPr>
        <w:t xml:space="preserve">各项监督工作。 </w:t>
      </w:r>
    </w:p>
    <w:p>
      <w:pPr>
        <w:pStyle w:val="37"/>
        <w:keepNext w:val="0"/>
        <w:keepLines w:val="0"/>
        <w:pageBreakBefore w:val="0"/>
        <w:widowControl w:val="0"/>
        <w:numPr>
          <w:ilvl w:val="2"/>
          <w:numId w:val="0"/>
        </w:numPr>
        <w:kinsoku/>
        <w:wordWrap w:val="0"/>
        <w:overflowPunct/>
        <w:topLinePunct/>
        <w:autoSpaceDE/>
        <w:autoSpaceDN/>
        <w:bidi w:val="0"/>
        <w:adjustRightInd w:val="0"/>
        <w:snapToGrid w:val="0"/>
        <w:ind w:leftChars="0" w:firstLine="480" w:firstLineChars="200"/>
        <w:textAlignment w:val="auto"/>
        <w:rPr>
          <w:rFonts w:hint="eastAsia"/>
          <w:color w:val="auto"/>
          <w:highlight w:val="none"/>
          <w:lang w:eastAsia="zh-CN"/>
        </w:rPr>
      </w:pPr>
      <w:r>
        <w:rPr>
          <w:rFonts w:hint="eastAsia"/>
          <w:color w:val="auto"/>
          <w:highlight w:val="none"/>
          <w:lang w:eastAsia="zh-CN"/>
        </w:rPr>
        <w:t>(3)在投标活动中无参与串标或围标的行为。</w:t>
      </w:r>
    </w:p>
    <w:p>
      <w:pPr>
        <w:pStyle w:val="48"/>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rPr>
        <w:t>对上述承诺的内容事项真实性</w:t>
      </w:r>
      <w:r>
        <w:rPr>
          <w:rFonts w:hint="eastAsia"/>
          <w:color w:val="auto"/>
          <w:highlight w:val="none"/>
          <w:lang w:eastAsia="zh-CN"/>
        </w:rPr>
        <w:t>、</w:t>
      </w:r>
      <w:r>
        <w:rPr>
          <w:rFonts w:hint="eastAsia"/>
          <w:color w:val="auto"/>
          <w:highlight w:val="none"/>
        </w:rPr>
        <w:t>合法</w:t>
      </w:r>
      <w:r>
        <w:rPr>
          <w:rFonts w:hint="eastAsia"/>
          <w:color w:val="auto"/>
          <w:highlight w:val="none"/>
          <w:lang w:val="en-US" w:eastAsia="zh-CN"/>
        </w:rPr>
        <w:t>性</w:t>
      </w:r>
      <w:r>
        <w:rPr>
          <w:rFonts w:hint="eastAsia"/>
          <w:color w:val="auto"/>
          <w:highlight w:val="none"/>
        </w:rPr>
        <w:t>负责。如经查实上述承诺的内容事项存在虚假，</w:t>
      </w:r>
      <w:r>
        <w:rPr>
          <w:rFonts w:hint="eastAsia"/>
          <w:color w:val="auto"/>
          <w:highlight w:val="none"/>
          <w:lang w:val="en-US" w:eastAsia="zh-CN"/>
        </w:rPr>
        <w:t>自愿</w:t>
      </w:r>
      <w:r>
        <w:rPr>
          <w:rFonts w:hint="eastAsia"/>
          <w:color w:val="auto"/>
          <w:highlight w:val="none"/>
        </w:rPr>
        <w:t>接受以提供虚假材料谋取</w:t>
      </w:r>
      <w:r>
        <w:rPr>
          <w:rFonts w:hint="eastAsia"/>
          <w:color w:val="auto"/>
          <w:highlight w:val="none"/>
          <w:lang w:val="en-US" w:eastAsia="zh-CN"/>
        </w:rPr>
        <w:t>中标所带来的所有</w:t>
      </w:r>
      <w:r>
        <w:rPr>
          <w:rFonts w:hint="eastAsia"/>
          <w:color w:val="auto"/>
          <w:highlight w:val="none"/>
        </w:rPr>
        <w:t>法律责任。</w:t>
      </w:r>
    </w:p>
    <w:p>
      <w:pPr>
        <w:pStyle w:val="48"/>
        <w:keepNext w:val="0"/>
        <w:keepLines w:val="0"/>
        <w:pageBreakBefore w:val="0"/>
        <w:widowControl w:val="0"/>
        <w:kinsoku/>
        <w:overflow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lang w:val="en-US" w:eastAsia="zh-CN"/>
        </w:rPr>
        <w:t>投标人</w:t>
      </w:r>
      <w:r>
        <w:rPr>
          <w:rFonts w:hint="eastAsia"/>
          <w:color w:val="auto"/>
          <w:highlight w:val="none"/>
        </w:rPr>
        <w:t>名称：</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(盖章)</w:t>
      </w:r>
    </w:p>
    <w:p>
      <w:pPr>
        <w:pStyle w:val="48"/>
        <w:keepNext w:val="0"/>
        <w:keepLines w:val="0"/>
        <w:pageBreakBefore w:val="0"/>
        <w:widowControl w:val="0"/>
        <w:kinsoku/>
        <w:overflowPunct/>
        <w:autoSpaceDE/>
        <w:autoSpaceDN/>
        <w:bidi w:val="0"/>
        <w:adjustRightInd w:val="0"/>
        <w:snapToGrid w:val="0"/>
        <w:ind w:firstLine="480" w:firstLineChars="200"/>
        <w:textAlignment w:val="auto"/>
        <w:rPr>
          <w:rFonts w:hint="eastAsia"/>
          <w:color w:val="auto"/>
          <w:highlight w:val="none"/>
        </w:rPr>
      </w:pPr>
      <w:r>
        <w:rPr>
          <w:rFonts w:hint="eastAsia"/>
          <w:color w:val="auto"/>
          <w:highlight w:val="none"/>
          <w:lang w:eastAsia="zh-CN"/>
        </w:rPr>
        <w:t>法定代表人/单位负责人或授权代表</w:t>
      </w:r>
      <w:r>
        <w:rPr>
          <w:rFonts w:hint="eastAsia"/>
          <w:color w:val="auto"/>
          <w:highlight w:val="none"/>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color w:val="auto"/>
          <w:highlight w:val="none"/>
        </w:rPr>
        <w:t>(签字</w:t>
      </w:r>
      <w:r>
        <w:rPr>
          <w:rFonts w:hint="eastAsia"/>
          <w:color w:val="auto"/>
          <w:highlight w:val="none"/>
          <w:lang w:eastAsia="zh-CN"/>
        </w:rPr>
        <w:t>或盖章</w:t>
      </w:r>
      <w:r>
        <w:rPr>
          <w:rFonts w:hint="eastAsia"/>
          <w:color w:val="auto"/>
          <w:highlight w:val="none"/>
        </w:rPr>
        <w:t>)</w:t>
      </w:r>
    </w:p>
    <w:p>
      <w:pPr>
        <w:pStyle w:val="48"/>
        <w:keepNext w:val="0"/>
        <w:keepLines w:val="0"/>
        <w:pageBreakBefore w:val="0"/>
        <w:widowControl w:val="0"/>
        <w:kinsoku/>
        <w:overflowPunct/>
        <w:autoSpaceDE/>
        <w:autoSpaceDN/>
        <w:bidi w:val="0"/>
        <w:adjustRightInd w:val="0"/>
        <w:snapToGrid w:val="0"/>
        <w:ind w:firstLine="480" w:firstLineChars="200"/>
        <w:textAlignment w:val="auto"/>
        <w:rPr>
          <w:color w:val="auto"/>
          <w:highlight w:val="none"/>
        </w:rPr>
        <w:sectPr>
          <w:pgSz w:w="11906" w:h="16838"/>
          <w:pgMar w:top="1440" w:right="1080" w:bottom="1440" w:left="1080" w:header="851" w:footer="992" w:gutter="0"/>
          <w:pgNumType w:fmt="decimal"/>
          <w:cols w:space="0" w:num="1"/>
          <w:titlePg/>
          <w:docGrid w:linePitch="312" w:charSpace="0"/>
        </w:sectPr>
      </w:pPr>
      <w:r>
        <w:rPr>
          <w:rFonts w:hint="eastAsia"/>
          <w:color w:val="auto"/>
          <w:highlight w:val="none"/>
          <w:lang w:val="en-US" w:eastAsia="zh-CN"/>
        </w:rPr>
        <w:t>投标</w:t>
      </w:r>
      <w:r>
        <w:rPr>
          <w:rFonts w:hint="eastAsia"/>
          <w:color w:val="auto"/>
          <w:highlight w:val="none"/>
        </w:rPr>
        <w:t>日期</w:t>
      </w:r>
      <w:r>
        <w:rPr>
          <w:rFonts w:hint="eastAsia"/>
          <w:color w:val="auto"/>
          <w:highlight w:val="none"/>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p>
    <w:p>
      <w:pPr>
        <w:pStyle w:val="46"/>
        <w:numPr>
          <w:ilvl w:val="0"/>
          <w:numId w:val="26"/>
        </w:numPr>
        <w:spacing w:before="120" w:after="120"/>
        <w:ind w:firstLine="0"/>
        <w:rPr>
          <w:color w:val="auto"/>
          <w:highlight w:val="none"/>
        </w:rPr>
      </w:pPr>
      <w:bookmarkStart w:id="969" w:name="_Toc24473"/>
      <w:r>
        <w:rPr>
          <w:rFonts w:hint="eastAsia"/>
          <w:color w:val="auto"/>
          <w:highlight w:val="none"/>
        </w:rPr>
        <w:t>投标人基本情况表</w:t>
      </w:r>
      <w:bookmarkEnd w:id="965"/>
      <w:bookmarkEnd w:id="966"/>
      <w:bookmarkEnd w:id="969"/>
    </w:p>
    <w:tbl>
      <w:tblPr>
        <w:tblStyle w:val="23"/>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7"/>
              <w:spacing w:line="480" w:lineRule="exact"/>
              <w:rPr>
                <w:color w:val="auto"/>
                <w:highlight w:val="none"/>
              </w:rPr>
            </w:pPr>
            <w:r>
              <w:rPr>
                <w:rFonts w:hint="eastAsia"/>
                <w:color w:val="auto"/>
                <w:highlight w:val="none"/>
              </w:rPr>
              <w:t>投标人名称</w:t>
            </w:r>
          </w:p>
        </w:tc>
        <w:tc>
          <w:tcPr>
            <w:tcW w:w="8000" w:type="dxa"/>
            <w:gridSpan w:val="7"/>
            <w:vAlign w:val="center"/>
          </w:tcPr>
          <w:p>
            <w:pPr>
              <w:pStyle w:val="47"/>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7"/>
              <w:spacing w:line="480" w:lineRule="exact"/>
              <w:rPr>
                <w:color w:val="auto"/>
                <w:highlight w:val="none"/>
              </w:rPr>
            </w:pPr>
            <w:r>
              <w:rPr>
                <w:rFonts w:hint="eastAsia"/>
                <w:color w:val="auto"/>
                <w:highlight w:val="none"/>
              </w:rPr>
              <w:t>注册地址</w:t>
            </w:r>
          </w:p>
        </w:tc>
        <w:tc>
          <w:tcPr>
            <w:tcW w:w="3826" w:type="dxa"/>
            <w:gridSpan w:val="3"/>
            <w:vAlign w:val="center"/>
          </w:tcPr>
          <w:p>
            <w:pPr>
              <w:pStyle w:val="47"/>
              <w:spacing w:line="480" w:lineRule="exact"/>
              <w:rPr>
                <w:color w:val="auto"/>
                <w:highlight w:val="none"/>
              </w:rPr>
            </w:pPr>
          </w:p>
        </w:tc>
        <w:tc>
          <w:tcPr>
            <w:tcW w:w="1548" w:type="dxa"/>
            <w:vAlign w:val="center"/>
          </w:tcPr>
          <w:p>
            <w:pPr>
              <w:pStyle w:val="47"/>
              <w:spacing w:line="480" w:lineRule="exact"/>
              <w:rPr>
                <w:color w:val="auto"/>
                <w:highlight w:val="none"/>
              </w:rPr>
            </w:pPr>
            <w:r>
              <w:rPr>
                <w:rFonts w:hint="eastAsia"/>
                <w:color w:val="auto"/>
                <w:highlight w:val="none"/>
              </w:rPr>
              <w:t>邮政编码</w:t>
            </w:r>
          </w:p>
        </w:tc>
        <w:tc>
          <w:tcPr>
            <w:tcW w:w="2626" w:type="dxa"/>
            <w:gridSpan w:val="3"/>
            <w:vAlign w:val="center"/>
          </w:tcPr>
          <w:p>
            <w:pPr>
              <w:pStyle w:val="47"/>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Merge w:val="restart"/>
            <w:vAlign w:val="center"/>
          </w:tcPr>
          <w:p>
            <w:pPr>
              <w:pStyle w:val="47"/>
              <w:spacing w:line="480" w:lineRule="exact"/>
              <w:rPr>
                <w:color w:val="auto"/>
                <w:highlight w:val="none"/>
              </w:rPr>
            </w:pPr>
            <w:r>
              <w:rPr>
                <w:rFonts w:hint="eastAsia"/>
                <w:color w:val="auto"/>
                <w:highlight w:val="none"/>
              </w:rPr>
              <w:t>联系方式</w:t>
            </w:r>
          </w:p>
        </w:tc>
        <w:tc>
          <w:tcPr>
            <w:tcW w:w="939" w:type="dxa"/>
            <w:vAlign w:val="center"/>
          </w:tcPr>
          <w:p>
            <w:pPr>
              <w:pStyle w:val="47"/>
              <w:spacing w:line="480" w:lineRule="exact"/>
              <w:rPr>
                <w:color w:val="auto"/>
                <w:highlight w:val="none"/>
              </w:rPr>
            </w:pPr>
            <w:r>
              <w:rPr>
                <w:rFonts w:hint="eastAsia"/>
                <w:color w:val="auto"/>
                <w:highlight w:val="none"/>
              </w:rPr>
              <w:t>联系人</w:t>
            </w:r>
          </w:p>
        </w:tc>
        <w:tc>
          <w:tcPr>
            <w:tcW w:w="2887" w:type="dxa"/>
            <w:gridSpan w:val="2"/>
            <w:vAlign w:val="center"/>
          </w:tcPr>
          <w:p>
            <w:pPr>
              <w:pStyle w:val="47"/>
              <w:spacing w:line="480" w:lineRule="exact"/>
              <w:rPr>
                <w:color w:val="auto"/>
                <w:highlight w:val="none"/>
              </w:rPr>
            </w:pPr>
          </w:p>
        </w:tc>
        <w:tc>
          <w:tcPr>
            <w:tcW w:w="1548" w:type="dxa"/>
            <w:vAlign w:val="center"/>
          </w:tcPr>
          <w:p>
            <w:pPr>
              <w:pStyle w:val="47"/>
              <w:spacing w:line="480" w:lineRule="exact"/>
              <w:rPr>
                <w:color w:val="auto"/>
                <w:highlight w:val="none"/>
              </w:rPr>
            </w:pPr>
            <w:r>
              <w:rPr>
                <w:rFonts w:hint="eastAsia"/>
                <w:color w:val="auto"/>
                <w:highlight w:val="none"/>
              </w:rPr>
              <w:t>电话</w:t>
            </w:r>
          </w:p>
        </w:tc>
        <w:tc>
          <w:tcPr>
            <w:tcW w:w="2626" w:type="dxa"/>
            <w:gridSpan w:val="3"/>
            <w:vAlign w:val="center"/>
          </w:tcPr>
          <w:p>
            <w:pPr>
              <w:pStyle w:val="47"/>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956" w:type="dxa"/>
            <w:vMerge w:val="continue"/>
            <w:vAlign w:val="center"/>
          </w:tcPr>
          <w:p>
            <w:pPr>
              <w:pStyle w:val="47"/>
              <w:spacing w:line="480" w:lineRule="exact"/>
              <w:rPr>
                <w:color w:val="auto"/>
                <w:highlight w:val="none"/>
              </w:rPr>
            </w:pPr>
          </w:p>
        </w:tc>
        <w:tc>
          <w:tcPr>
            <w:tcW w:w="939" w:type="dxa"/>
            <w:vAlign w:val="center"/>
          </w:tcPr>
          <w:p>
            <w:pPr>
              <w:pStyle w:val="47"/>
              <w:spacing w:line="480" w:lineRule="exact"/>
              <w:rPr>
                <w:color w:val="auto"/>
                <w:highlight w:val="none"/>
              </w:rPr>
            </w:pPr>
            <w:r>
              <w:rPr>
                <w:rFonts w:hint="eastAsia"/>
                <w:color w:val="auto"/>
                <w:highlight w:val="none"/>
              </w:rPr>
              <w:t>传真</w:t>
            </w:r>
          </w:p>
        </w:tc>
        <w:tc>
          <w:tcPr>
            <w:tcW w:w="2887" w:type="dxa"/>
            <w:gridSpan w:val="2"/>
            <w:vAlign w:val="center"/>
          </w:tcPr>
          <w:p>
            <w:pPr>
              <w:pStyle w:val="47"/>
              <w:spacing w:line="480" w:lineRule="exact"/>
              <w:rPr>
                <w:color w:val="auto"/>
                <w:highlight w:val="none"/>
              </w:rPr>
            </w:pPr>
          </w:p>
        </w:tc>
        <w:tc>
          <w:tcPr>
            <w:tcW w:w="1548" w:type="dxa"/>
            <w:vAlign w:val="center"/>
          </w:tcPr>
          <w:p>
            <w:pPr>
              <w:pStyle w:val="47"/>
              <w:spacing w:line="480" w:lineRule="exact"/>
              <w:rPr>
                <w:color w:val="auto"/>
                <w:highlight w:val="none"/>
              </w:rPr>
            </w:pPr>
            <w:r>
              <w:rPr>
                <w:rFonts w:hint="eastAsia"/>
                <w:color w:val="auto"/>
                <w:highlight w:val="none"/>
              </w:rPr>
              <w:t>网址</w:t>
            </w:r>
          </w:p>
        </w:tc>
        <w:tc>
          <w:tcPr>
            <w:tcW w:w="2626" w:type="dxa"/>
            <w:gridSpan w:val="3"/>
            <w:vAlign w:val="center"/>
          </w:tcPr>
          <w:p>
            <w:pPr>
              <w:pStyle w:val="47"/>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56" w:type="dxa"/>
            <w:vAlign w:val="center"/>
          </w:tcPr>
          <w:p>
            <w:pPr>
              <w:pStyle w:val="47"/>
              <w:spacing w:line="480" w:lineRule="exact"/>
              <w:rPr>
                <w:color w:val="auto"/>
                <w:highlight w:val="none"/>
              </w:rPr>
            </w:pPr>
            <w:r>
              <w:rPr>
                <w:rFonts w:hint="eastAsia"/>
                <w:color w:val="auto"/>
                <w:highlight w:val="none"/>
              </w:rPr>
              <w:t>法定代表人</w:t>
            </w:r>
          </w:p>
        </w:tc>
        <w:tc>
          <w:tcPr>
            <w:tcW w:w="939" w:type="dxa"/>
            <w:vAlign w:val="center"/>
          </w:tcPr>
          <w:p>
            <w:pPr>
              <w:pStyle w:val="47"/>
              <w:spacing w:line="480" w:lineRule="exact"/>
              <w:rPr>
                <w:color w:val="auto"/>
                <w:highlight w:val="none"/>
              </w:rPr>
            </w:pPr>
            <w:r>
              <w:rPr>
                <w:rFonts w:hint="eastAsia"/>
                <w:color w:val="auto"/>
                <w:highlight w:val="none"/>
              </w:rPr>
              <w:t>姓名</w:t>
            </w:r>
          </w:p>
        </w:tc>
        <w:tc>
          <w:tcPr>
            <w:tcW w:w="1432" w:type="dxa"/>
            <w:vAlign w:val="center"/>
          </w:tcPr>
          <w:p>
            <w:pPr>
              <w:pStyle w:val="47"/>
              <w:spacing w:line="480" w:lineRule="exact"/>
              <w:rPr>
                <w:color w:val="auto"/>
                <w:highlight w:val="none"/>
              </w:rPr>
            </w:pPr>
          </w:p>
        </w:tc>
        <w:tc>
          <w:tcPr>
            <w:tcW w:w="1455" w:type="dxa"/>
            <w:vAlign w:val="center"/>
          </w:tcPr>
          <w:p>
            <w:pPr>
              <w:pStyle w:val="47"/>
              <w:spacing w:line="480" w:lineRule="exact"/>
              <w:rPr>
                <w:color w:val="auto"/>
                <w:highlight w:val="none"/>
              </w:rPr>
            </w:pPr>
            <w:r>
              <w:rPr>
                <w:rFonts w:hint="eastAsia"/>
                <w:color w:val="auto"/>
                <w:highlight w:val="none"/>
              </w:rPr>
              <w:t>技术职称</w:t>
            </w:r>
          </w:p>
        </w:tc>
        <w:tc>
          <w:tcPr>
            <w:tcW w:w="1548" w:type="dxa"/>
            <w:vAlign w:val="center"/>
          </w:tcPr>
          <w:p>
            <w:pPr>
              <w:pStyle w:val="47"/>
              <w:spacing w:line="480" w:lineRule="exact"/>
              <w:rPr>
                <w:color w:val="auto"/>
                <w:highlight w:val="none"/>
              </w:rPr>
            </w:pPr>
          </w:p>
        </w:tc>
        <w:tc>
          <w:tcPr>
            <w:tcW w:w="1364" w:type="dxa"/>
            <w:gridSpan w:val="2"/>
            <w:vAlign w:val="center"/>
          </w:tcPr>
          <w:p>
            <w:pPr>
              <w:pStyle w:val="47"/>
              <w:spacing w:line="480" w:lineRule="exact"/>
              <w:rPr>
                <w:color w:val="auto"/>
                <w:highlight w:val="none"/>
              </w:rPr>
            </w:pPr>
            <w:r>
              <w:rPr>
                <w:rFonts w:hint="eastAsia"/>
                <w:color w:val="auto"/>
                <w:highlight w:val="none"/>
              </w:rPr>
              <w:t>电话</w:t>
            </w:r>
          </w:p>
        </w:tc>
        <w:tc>
          <w:tcPr>
            <w:tcW w:w="1262" w:type="dxa"/>
            <w:vAlign w:val="center"/>
          </w:tcPr>
          <w:p>
            <w:pPr>
              <w:pStyle w:val="47"/>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vAlign w:val="center"/>
          </w:tcPr>
          <w:p>
            <w:pPr>
              <w:pStyle w:val="47"/>
              <w:spacing w:line="480" w:lineRule="exact"/>
              <w:rPr>
                <w:color w:val="auto"/>
                <w:highlight w:val="none"/>
              </w:rPr>
            </w:pPr>
            <w:r>
              <w:rPr>
                <w:rFonts w:hint="eastAsia"/>
                <w:color w:val="auto"/>
                <w:highlight w:val="none"/>
              </w:rPr>
              <w:t>技术负责人</w:t>
            </w:r>
          </w:p>
        </w:tc>
        <w:tc>
          <w:tcPr>
            <w:tcW w:w="939" w:type="dxa"/>
            <w:vAlign w:val="center"/>
          </w:tcPr>
          <w:p>
            <w:pPr>
              <w:pStyle w:val="47"/>
              <w:spacing w:line="480" w:lineRule="exact"/>
              <w:rPr>
                <w:color w:val="auto"/>
                <w:highlight w:val="none"/>
              </w:rPr>
            </w:pPr>
            <w:r>
              <w:rPr>
                <w:rFonts w:hint="eastAsia"/>
                <w:color w:val="auto"/>
                <w:highlight w:val="none"/>
              </w:rPr>
              <w:t>姓名</w:t>
            </w:r>
          </w:p>
        </w:tc>
        <w:tc>
          <w:tcPr>
            <w:tcW w:w="1432" w:type="dxa"/>
            <w:vAlign w:val="center"/>
          </w:tcPr>
          <w:p>
            <w:pPr>
              <w:pStyle w:val="47"/>
              <w:spacing w:line="480" w:lineRule="exact"/>
              <w:rPr>
                <w:color w:val="auto"/>
                <w:highlight w:val="none"/>
              </w:rPr>
            </w:pPr>
          </w:p>
        </w:tc>
        <w:tc>
          <w:tcPr>
            <w:tcW w:w="1455" w:type="dxa"/>
            <w:vAlign w:val="center"/>
          </w:tcPr>
          <w:p>
            <w:pPr>
              <w:pStyle w:val="47"/>
              <w:spacing w:line="480" w:lineRule="exact"/>
              <w:rPr>
                <w:color w:val="auto"/>
                <w:highlight w:val="none"/>
              </w:rPr>
            </w:pPr>
            <w:r>
              <w:rPr>
                <w:rFonts w:hint="eastAsia"/>
                <w:color w:val="auto"/>
                <w:highlight w:val="none"/>
              </w:rPr>
              <w:t>技术职称</w:t>
            </w:r>
          </w:p>
        </w:tc>
        <w:tc>
          <w:tcPr>
            <w:tcW w:w="1548" w:type="dxa"/>
            <w:vAlign w:val="center"/>
          </w:tcPr>
          <w:p>
            <w:pPr>
              <w:pStyle w:val="47"/>
              <w:spacing w:line="480" w:lineRule="exact"/>
              <w:rPr>
                <w:color w:val="auto"/>
                <w:highlight w:val="none"/>
              </w:rPr>
            </w:pPr>
          </w:p>
        </w:tc>
        <w:tc>
          <w:tcPr>
            <w:tcW w:w="1364" w:type="dxa"/>
            <w:gridSpan w:val="2"/>
            <w:vAlign w:val="center"/>
          </w:tcPr>
          <w:p>
            <w:pPr>
              <w:pStyle w:val="47"/>
              <w:spacing w:line="480" w:lineRule="exact"/>
              <w:rPr>
                <w:color w:val="auto"/>
                <w:highlight w:val="none"/>
              </w:rPr>
            </w:pPr>
            <w:r>
              <w:rPr>
                <w:rFonts w:hint="eastAsia"/>
                <w:color w:val="auto"/>
                <w:highlight w:val="none"/>
              </w:rPr>
              <w:t>电话</w:t>
            </w:r>
          </w:p>
        </w:tc>
        <w:tc>
          <w:tcPr>
            <w:tcW w:w="1262" w:type="dxa"/>
            <w:vAlign w:val="center"/>
          </w:tcPr>
          <w:p>
            <w:pPr>
              <w:pStyle w:val="47"/>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7"/>
              <w:spacing w:line="480" w:lineRule="exact"/>
              <w:rPr>
                <w:color w:val="auto"/>
                <w:highlight w:val="none"/>
              </w:rPr>
            </w:pPr>
            <w:r>
              <w:rPr>
                <w:rFonts w:hint="eastAsia"/>
                <w:color w:val="auto"/>
                <w:highlight w:val="none"/>
              </w:rPr>
              <w:t>成立时间</w:t>
            </w:r>
          </w:p>
        </w:tc>
        <w:tc>
          <w:tcPr>
            <w:tcW w:w="2371" w:type="dxa"/>
            <w:gridSpan w:val="2"/>
            <w:vAlign w:val="center"/>
          </w:tcPr>
          <w:p>
            <w:pPr>
              <w:pStyle w:val="47"/>
              <w:spacing w:line="480" w:lineRule="exact"/>
              <w:rPr>
                <w:color w:val="auto"/>
                <w:highlight w:val="none"/>
              </w:rPr>
            </w:pPr>
          </w:p>
        </w:tc>
        <w:tc>
          <w:tcPr>
            <w:tcW w:w="5629" w:type="dxa"/>
            <w:gridSpan w:val="5"/>
            <w:vAlign w:val="center"/>
          </w:tcPr>
          <w:p>
            <w:pPr>
              <w:pStyle w:val="47"/>
              <w:spacing w:line="480" w:lineRule="exact"/>
              <w:rPr>
                <w:color w:val="auto"/>
                <w:highlight w:val="none"/>
              </w:rPr>
            </w:pPr>
            <w:r>
              <w:rPr>
                <w:rFonts w:hint="eastAsia"/>
                <w:color w:val="auto"/>
                <w:highlight w:val="none"/>
              </w:rPr>
              <w:t>从业人员总人数：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7"/>
              <w:spacing w:line="480" w:lineRule="exact"/>
              <w:rPr>
                <w:color w:val="auto"/>
                <w:highlight w:val="none"/>
              </w:rPr>
            </w:pPr>
            <w:r>
              <w:rPr>
                <w:rFonts w:hint="eastAsia"/>
                <w:color w:val="auto"/>
                <w:highlight w:val="none"/>
              </w:rPr>
              <w:t>企业资质等级</w:t>
            </w:r>
          </w:p>
        </w:tc>
        <w:tc>
          <w:tcPr>
            <w:tcW w:w="2371" w:type="dxa"/>
            <w:gridSpan w:val="2"/>
            <w:vAlign w:val="center"/>
          </w:tcPr>
          <w:p>
            <w:pPr>
              <w:pStyle w:val="47"/>
              <w:spacing w:line="480" w:lineRule="exact"/>
              <w:rPr>
                <w:color w:val="auto"/>
                <w:highlight w:val="none"/>
              </w:rPr>
            </w:pPr>
          </w:p>
        </w:tc>
        <w:tc>
          <w:tcPr>
            <w:tcW w:w="1455" w:type="dxa"/>
            <w:vMerge w:val="restart"/>
            <w:vAlign w:val="center"/>
          </w:tcPr>
          <w:p>
            <w:pPr>
              <w:pStyle w:val="47"/>
              <w:spacing w:line="480" w:lineRule="exact"/>
              <w:rPr>
                <w:color w:val="auto"/>
                <w:highlight w:val="none"/>
              </w:rPr>
            </w:pPr>
            <w:r>
              <w:rPr>
                <w:rFonts w:hint="eastAsia"/>
                <w:color w:val="auto"/>
                <w:highlight w:val="none"/>
              </w:rPr>
              <w:t>其中</w:t>
            </w:r>
          </w:p>
        </w:tc>
        <w:tc>
          <w:tcPr>
            <w:tcW w:w="1734" w:type="dxa"/>
            <w:gridSpan w:val="2"/>
            <w:vAlign w:val="center"/>
          </w:tcPr>
          <w:p>
            <w:pPr>
              <w:pStyle w:val="47"/>
              <w:spacing w:line="480" w:lineRule="exact"/>
              <w:rPr>
                <w:color w:val="auto"/>
                <w:highlight w:val="none"/>
              </w:rPr>
            </w:pPr>
            <w:r>
              <w:rPr>
                <w:rFonts w:hint="eastAsia"/>
                <w:color w:val="auto"/>
                <w:highlight w:val="none"/>
              </w:rPr>
              <w:t>项目经理</w:t>
            </w:r>
          </w:p>
        </w:tc>
        <w:tc>
          <w:tcPr>
            <w:tcW w:w="2440" w:type="dxa"/>
            <w:gridSpan w:val="2"/>
            <w:vAlign w:val="center"/>
          </w:tcPr>
          <w:p>
            <w:pPr>
              <w:pStyle w:val="47"/>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7"/>
              <w:spacing w:line="480" w:lineRule="exact"/>
              <w:rPr>
                <w:color w:val="auto"/>
                <w:highlight w:val="none"/>
              </w:rPr>
            </w:pPr>
            <w:r>
              <w:rPr>
                <w:rFonts w:hint="eastAsia"/>
                <w:color w:val="auto"/>
                <w:highlight w:val="none"/>
              </w:rPr>
              <w:t>营业执照号/统一社会信用代码</w:t>
            </w:r>
          </w:p>
        </w:tc>
        <w:tc>
          <w:tcPr>
            <w:tcW w:w="2371" w:type="dxa"/>
            <w:gridSpan w:val="2"/>
            <w:vAlign w:val="center"/>
          </w:tcPr>
          <w:p>
            <w:pPr>
              <w:pStyle w:val="47"/>
              <w:spacing w:line="480" w:lineRule="exact"/>
              <w:rPr>
                <w:color w:val="auto"/>
                <w:highlight w:val="none"/>
              </w:rPr>
            </w:pPr>
          </w:p>
        </w:tc>
        <w:tc>
          <w:tcPr>
            <w:tcW w:w="1455" w:type="dxa"/>
            <w:vMerge w:val="continue"/>
            <w:vAlign w:val="center"/>
          </w:tcPr>
          <w:p>
            <w:pPr>
              <w:pStyle w:val="47"/>
              <w:spacing w:line="480" w:lineRule="exact"/>
              <w:rPr>
                <w:color w:val="auto"/>
                <w:highlight w:val="none"/>
              </w:rPr>
            </w:pPr>
          </w:p>
        </w:tc>
        <w:tc>
          <w:tcPr>
            <w:tcW w:w="1734" w:type="dxa"/>
            <w:gridSpan w:val="2"/>
            <w:vAlign w:val="center"/>
          </w:tcPr>
          <w:p>
            <w:pPr>
              <w:pStyle w:val="47"/>
              <w:spacing w:line="480" w:lineRule="exact"/>
              <w:rPr>
                <w:color w:val="auto"/>
                <w:highlight w:val="none"/>
              </w:rPr>
            </w:pPr>
            <w:r>
              <w:rPr>
                <w:rFonts w:hint="eastAsia"/>
                <w:color w:val="auto"/>
                <w:highlight w:val="none"/>
              </w:rPr>
              <w:t>高级职称人员</w:t>
            </w:r>
          </w:p>
        </w:tc>
        <w:tc>
          <w:tcPr>
            <w:tcW w:w="2440" w:type="dxa"/>
            <w:gridSpan w:val="2"/>
            <w:vAlign w:val="center"/>
          </w:tcPr>
          <w:p>
            <w:pPr>
              <w:pStyle w:val="47"/>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7"/>
              <w:spacing w:line="480" w:lineRule="exact"/>
              <w:rPr>
                <w:color w:val="auto"/>
                <w:highlight w:val="none"/>
              </w:rPr>
            </w:pPr>
            <w:r>
              <w:rPr>
                <w:rFonts w:hint="eastAsia"/>
                <w:color w:val="auto"/>
                <w:highlight w:val="none"/>
              </w:rPr>
              <w:t>注册资金</w:t>
            </w:r>
          </w:p>
        </w:tc>
        <w:tc>
          <w:tcPr>
            <w:tcW w:w="2371" w:type="dxa"/>
            <w:gridSpan w:val="2"/>
            <w:vAlign w:val="center"/>
          </w:tcPr>
          <w:p>
            <w:pPr>
              <w:pStyle w:val="47"/>
              <w:spacing w:line="480" w:lineRule="exact"/>
              <w:rPr>
                <w:color w:val="auto"/>
                <w:highlight w:val="none"/>
              </w:rPr>
            </w:pPr>
          </w:p>
        </w:tc>
        <w:tc>
          <w:tcPr>
            <w:tcW w:w="1455" w:type="dxa"/>
            <w:vMerge w:val="continue"/>
            <w:vAlign w:val="center"/>
          </w:tcPr>
          <w:p>
            <w:pPr>
              <w:pStyle w:val="47"/>
              <w:spacing w:line="480" w:lineRule="exact"/>
              <w:rPr>
                <w:color w:val="auto"/>
                <w:highlight w:val="none"/>
              </w:rPr>
            </w:pPr>
          </w:p>
        </w:tc>
        <w:tc>
          <w:tcPr>
            <w:tcW w:w="1734" w:type="dxa"/>
            <w:gridSpan w:val="2"/>
            <w:vAlign w:val="center"/>
          </w:tcPr>
          <w:p>
            <w:pPr>
              <w:pStyle w:val="47"/>
              <w:spacing w:line="480" w:lineRule="exact"/>
              <w:rPr>
                <w:color w:val="auto"/>
                <w:highlight w:val="none"/>
              </w:rPr>
            </w:pPr>
            <w:r>
              <w:rPr>
                <w:rFonts w:hint="eastAsia"/>
                <w:color w:val="auto"/>
                <w:highlight w:val="none"/>
              </w:rPr>
              <w:t>中级职称人员</w:t>
            </w:r>
          </w:p>
        </w:tc>
        <w:tc>
          <w:tcPr>
            <w:tcW w:w="2440" w:type="dxa"/>
            <w:gridSpan w:val="2"/>
            <w:vAlign w:val="center"/>
          </w:tcPr>
          <w:p>
            <w:pPr>
              <w:pStyle w:val="47"/>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7"/>
              <w:spacing w:line="480" w:lineRule="exact"/>
              <w:rPr>
                <w:color w:val="auto"/>
                <w:highlight w:val="none"/>
              </w:rPr>
            </w:pPr>
            <w:r>
              <w:rPr>
                <w:rFonts w:hint="eastAsia"/>
                <w:color w:val="auto"/>
                <w:highlight w:val="none"/>
              </w:rPr>
              <w:t>开户银行</w:t>
            </w:r>
          </w:p>
        </w:tc>
        <w:tc>
          <w:tcPr>
            <w:tcW w:w="2371" w:type="dxa"/>
            <w:gridSpan w:val="2"/>
            <w:vAlign w:val="center"/>
          </w:tcPr>
          <w:p>
            <w:pPr>
              <w:pStyle w:val="47"/>
              <w:spacing w:line="480" w:lineRule="exact"/>
              <w:rPr>
                <w:color w:val="auto"/>
                <w:highlight w:val="none"/>
              </w:rPr>
            </w:pPr>
          </w:p>
        </w:tc>
        <w:tc>
          <w:tcPr>
            <w:tcW w:w="1455" w:type="dxa"/>
            <w:vMerge w:val="continue"/>
            <w:vAlign w:val="center"/>
          </w:tcPr>
          <w:p>
            <w:pPr>
              <w:pStyle w:val="47"/>
              <w:spacing w:line="480" w:lineRule="exact"/>
              <w:rPr>
                <w:color w:val="auto"/>
                <w:highlight w:val="none"/>
              </w:rPr>
            </w:pPr>
          </w:p>
        </w:tc>
        <w:tc>
          <w:tcPr>
            <w:tcW w:w="1734" w:type="dxa"/>
            <w:gridSpan w:val="2"/>
            <w:vAlign w:val="center"/>
          </w:tcPr>
          <w:p>
            <w:pPr>
              <w:pStyle w:val="47"/>
              <w:spacing w:line="480" w:lineRule="exact"/>
              <w:rPr>
                <w:color w:val="auto"/>
                <w:highlight w:val="none"/>
              </w:rPr>
            </w:pPr>
            <w:r>
              <w:rPr>
                <w:rFonts w:hint="eastAsia"/>
                <w:color w:val="auto"/>
                <w:highlight w:val="none"/>
              </w:rPr>
              <w:t>初级职称人员</w:t>
            </w:r>
          </w:p>
        </w:tc>
        <w:tc>
          <w:tcPr>
            <w:tcW w:w="2440" w:type="dxa"/>
            <w:gridSpan w:val="2"/>
            <w:vAlign w:val="center"/>
          </w:tcPr>
          <w:p>
            <w:pPr>
              <w:pStyle w:val="47"/>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7"/>
              <w:spacing w:line="480" w:lineRule="exact"/>
              <w:rPr>
                <w:color w:val="auto"/>
                <w:highlight w:val="none"/>
              </w:rPr>
            </w:pPr>
            <w:r>
              <w:rPr>
                <w:rFonts w:hint="eastAsia"/>
                <w:color w:val="auto"/>
                <w:highlight w:val="none"/>
              </w:rPr>
              <w:t>账号</w:t>
            </w:r>
          </w:p>
        </w:tc>
        <w:tc>
          <w:tcPr>
            <w:tcW w:w="2371" w:type="dxa"/>
            <w:gridSpan w:val="2"/>
            <w:vAlign w:val="center"/>
          </w:tcPr>
          <w:p>
            <w:pPr>
              <w:pStyle w:val="47"/>
              <w:spacing w:line="480" w:lineRule="exact"/>
              <w:rPr>
                <w:color w:val="auto"/>
                <w:highlight w:val="none"/>
              </w:rPr>
            </w:pPr>
          </w:p>
        </w:tc>
        <w:tc>
          <w:tcPr>
            <w:tcW w:w="1455" w:type="dxa"/>
            <w:vMerge w:val="continue"/>
            <w:vAlign w:val="center"/>
          </w:tcPr>
          <w:p>
            <w:pPr>
              <w:pStyle w:val="47"/>
              <w:spacing w:line="480" w:lineRule="exact"/>
              <w:rPr>
                <w:color w:val="auto"/>
                <w:highlight w:val="none"/>
              </w:rPr>
            </w:pPr>
          </w:p>
        </w:tc>
        <w:tc>
          <w:tcPr>
            <w:tcW w:w="1734" w:type="dxa"/>
            <w:gridSpan w:val="2"/>
            <w:vAlign w:val="center"/>
          </w:tcPr>
          <w:p>
            <w:pPr>
              <w:pStyle w:val="47"/>
              <w:spacing w:line="480" w:lineRule="exact"/>
              <w:rPr>
                <w:color w:val="auto"/>
                <w:highlight w:val="none"/>
              </w:rPr>
            </w:pPr>
            <w:r>
              <w:rPr>
                <w:rFonts w:hint="eastAsia"/>
                <w:color w:val="auto"/>
                <w:highlight w:val="none"/>
              </w:rPr>
              <w:t>技工</w:t>
            </w:r>
          </w:p>
        </w:tc>
        <w:tc>
          <w:tcPr>
            <w:tcW w:w="2440" w:type="dxa"/>
            <w:gridSpan w:val="2"/>
            <w:vAlign w:val="center"/>
          </w:tcPr>
          <w:p>
            <w:pPr>
              <w:pStyle w:val="47"/>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56" w:type="dxa"/>
            <w:vAlign w:val="center"/>
          </w:tcPr>
          <w:p>
            <w:pPr>
              <w:pStyle w:val="47"/>
              <w:spacing w:line="480" w:lineRule="exact"/>
              <w:rPr>
                <w:color w:val="auto"/>
                <w:highlight w:val="none"/>
              </w:rPr>
            </w:pPr>
            <w:r>
              <w:rPr>
                <w:rFonts w:hint="eastAsia"/>
                <w:color w:val="auto"/>
                <w:highlight w:val="none"/>
              </w:rPr>
              <w:t>经营范围</w:t>
            </w:r>
          </w:p>
        </w:tc>
        <w:tc>
          <w:tcPr>
            <w:tcW w:w="8000" w:type="dxa"/>
            <w:gridSpan w:val="7"/>
            <w:vAlign w:val="center"/>
          </w:tcPr>
          <w:p>
            <w:pPr>
              <w:pStyle w:val="47"/>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956" w:type="dxa"/>
            <w:vAlign w:val="center"/>
          </w:tcPr>
          <w:p>
            <w:pPr>
              <w:pStyle w:val="47"/>
              <w:spacing w:line="480" w:lineRule="exact"/>
              <w:rPr>
                <w:color w:val="auto"/>
                <w:highlight w:val="none"/>
              </w:rPr>
            </w:pPr>
            <w:r>
              <w:rPr>
                <w:rFonts w:hint="eastAsia"/>
                <w:color w:val="auto"/>
                <w:highlight w:val="none"/>
              </w:rPr>
              <w:t>备注</w:t>
            </w:r>
          </w:p>
        </w:tc>
        <w:tc>
          <w:tcPr>
            <w:tcW w:w="8000" w:type="dxa"/>
            <w:gridSpan w:val="7"/>
          </w:tcPr>
          <w:p>
            <w:pPr>
              <w:pStyle w:val="47"/>
              <w:spacing w:line="480" w:lineRule="exact"/>
              <w:rPr>
                <w:color w:val="auto"/>
                <w:highlight w:val="none"/>
              </w:rPr>
            </w:pPr>
          </w:p>
        </w:tc>
      </w:tr>
    </w:tbl>
    <w:p>
      <w:pPr>
        <w:pStyle w:val="49"/>
        <w:ind w:firstLine="482"/>
        <w:rPr>
          <w:color w:val="auto"/>
          <w:highlight w:val="none"/>
        </w:rPr>
      </w:pPr>
      <w:r>
        <w:rPr>
          <w:rFonts w:hint="eastAsia"/>
          <w:color w:val="auto"/>
          <w:highlight w:val="none"/>
        </w:rPr>
        <w:t>注：投标人根据自身实际情况填写，对不涉及的内容可填写“/”，不影响投标资质及效力。</w:t>
      </w:r>
    </w:p>
    <w:p>
      <w:pPr>
        <w:pStyle w:val="44"/>
        <w:rPr>
          <w:color w:val="auto"/>
          <w:highlight w:val="none"/>
        </w:rPr>
      </w:pPr>
    </w:p>
    <w:p>
      <w:pPr>
        <w:pStyle w:val="48"/>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(盖章)</w:t>
      </w:r>
    </w:p>
    <w:p>
      <w:pPr>
        <w:pStyle w:val="48"/>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pStyle w:val="48"/>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48"/>
        <w:rPr>
          <w:color w:val="auto"/>
          <w:highlight w:val="none"/>
        </w:rPr>
      </w:pPr>
      <w:r>
        <w:rPr>
          <w:rFonts w:hint="eastAsia"/>
          <w:color w:val="auto"/>
          <w:highlight w:val="none"/>
        </w:rPr>
        <w:br w:type="page"/>
      </w:r>
    </w:p>
    <w:p>
      <w:pPr>
        <w:pStyle w:val="46"/>
        <w:numPr>
          <w:ilvl w:val="0"/>
          <w:numId w:val="26"/>
        </w:numPr>
        <w:spacing w:before="120" w:after="120"/>
        <w:ind w:firstLine="0"/>
        <w:rPr>
          <w:color w:val="auto"/>
          <w:highlight w:val="none"/>
        </w:rPr>
      </w:pPr>
      <w:bookmarkStart w:id="970" w:name="_Toc1650"/>
      <w:bookmarkStart w:id="971" w:name="_Toc28442"/>
      <w:bookmarkStart w:id="972" w:name="_Toc5308"/>
      <w:bookmarkStart w:id="973" w:name="_Toc22885"/>
      <w:bookmarkStart w:id="974" w:name="_Toc30133"/>
      <w:bookmarkStart w:id="975" w:name="_Toc19766"/>
      <w:r>
        <w:rPr>
          <w:rFonts w:hint="eastAsia"/>
          <w:color w:val="auto"/>
          <w:highlight w:val="none"/>
        </w:rPr>
        <w:t>开标一览表</w:t>
      </w:r>
      <w:bookmarkEnd w:id="970"/>
      <w:bookmarkEnd w:id="971"/>
      <w:bookmarkEnd w:id="972"/>
      <w:bookmarkEnd w:id="973"/>
      <w:bookmarkEnd w:id="974"/>
      <w:bookmarkEnd w:id="975"/>
    </w:p>
    <w:p>
      <w:pPr>
        <w:pStyle w:val="44"/>
        <w:rPr>
          <w:color w:val="auto"/>
          <w:highlight w:val="none"/>
          <w:u w:val="single"/>
        </w:rPr>
      </w:pPr>
      <w:r>
        <w:rPr>
          <w:rFonts w:hint="eastAsia"/>
          <w:color w:val="auto"/>
          <w:highlight w:val="none"/>
        </w:rPr>
        <w:t>项目名称：</w:t>
      </w:r>
      <w:r>
        <w:rPr>
          <w:rFonts w:hint="eastAsia"/>
          <w:color w:val="auto"/>
          <w:highlight w:val="none"/>
          <w:u w:val="single"/>
        </w:rPr>
        <w:t xml:space="preserve">                         </w:t>
      </w:r>
    </w:p>
    <w:p>
      <w:pPr>
        <w:pStyle w:val="44"/>
        <w:rPr>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23"/>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3"/>
        <w:gridCol w:w="5455"/>
        <w:gridCol w:w="2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473" w:type="dxa"/>
            <w:vAlign w:val="center"/>
          </w:tcPr>
          <w:p>
            <w:pPr>
              <w:pStyle w:val="47"/>
              <w:rPr>
                <w:rFonts w:hint="default" w:eastAsia="宋体" w:cs="宋体"/>
                <w:b/>
                <w:bCs/>
                <w:color w:val="auto"/>
                <w:szCs w:val="21"/>
                <w:highlight w:val="none"/>
                <w:lang w:val="en-US" w:eastAsia="zh-CN"/>
              </w:rPr>
            </w:pPr>
            <w:r>
              <w:rPr>
                <w:rFonts w:hint="eastAsia" w:cs="宋体"/>
                <w:b/>
                <w:bCs/>
                <w:color w:val="auto"/>
                <w:szCs w:val="21"/>
                <w:highlight w:val="none"/>
                <w:lang w:val="en-US" w:eastAsia="zh-CN"/>
              </w:rPr>
              <w:t>标的名称</w:t>
            </w:r>
          </w:p>
        </w:tc>
        <w:tc>
          <w:tcPr>
            <w:tcW w:w="5455" w:type="dxa"/>
            <w:vAlign w:val="center"/>
          </w:tcPr>
          <w:p>
            <w:pPr>
              <w:pStyle w:val="47"/>
              <w:rPr>
                <w:rFonts w:cs="宋体"/>
                <w:b/>
                <w:bCs/>
                <w:color w:val="auto"/>
                <w:szCs w:val="21"/>
                <w:highlight w:val="none"/>
              </w:rPr>
            </w:pPr>
            <w:r>
              <w:rPr>
                <w:rFonts w:hint="eastAsia" w:cs="宋体"/>
                <w:b/>
                <w:bCs/>
                <w:color w:val="auto"/>
                <w:szCs w:val="21"/>
                <w:highlight w:val="none"/>
              </w:rPr>
              <w:t>投标报价(下浮率)</w:t>
            </w:r>
          </w:p>
        </w:tc>
        <w:tc>
          <w:tcPr>
            <w:tcW w:w="2028" w:type="dxa"/>
            <w:vAlign w:val="center"/>
          </w:tcPr>
          <w:p>
            <w:pPr>
              <w:pStyle w:val="47"/>
              <w:rPr>
                <w:rFonts w:hint="default" w:eastAsia="宋体" w:cs="宋体"/>
                <w:b/>
                <w:bCs/>
                <w:color w:val="auto"/>
                <w:szCs w:val="21"/>
                <w:highlight w:val="none"/>
                <w:lang w:val="en-US" w:eastAsia="zh-CN"/>
              </w:rPr>
            </w:pPr>
            <w:r>
              <w:rPr>
                <w:rFonts w:hint="eastAsia" w:cs="宋体"/>
                <w:b/>
                <w:bCs/>
                <w:color w:val="auto"/>
                <w:szCs w:val="21"/>
                <w:highlight w:val="none"/>
                <w:lang w:val="en-US" w:eastAsia="zh-CN"/>
              </w:rPr>
              <w:t>品牌/制造商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473" w:type="dxa"/>
            <w:vAlign w:val="center"/>
          </w:tcPr>
          <w:p>
            <w:pPr>
              <w:pStyle w:val="44"/>
              <w:jc w:val="center"/>
              <w:rPr>
                <w:rFonts w:hint="default" w:eastAsia="宋体" w:cs="宋体"/>
                <w:color w:val="auto"/>
                <w:sz w:val="21"/>
                <w:szCs w:val="21"/>
                <w:highlight w:val="none"/>
                <w:lang w:val="en-US" w:eastAsia="zh-CN"/>
              </w:rPr>
            </w:pPr>
            <w:r>
              <w:rPr>
                <w:rFonts w:hint="eastAsia" w:cs="宋体"/>
                <w:color w:val="auto"/>
                <w:sz w:val="21"/>
                <w:szCs w:val="21"/>
                <w:highlight w:val="none"/>
                <w:lang w:val="en-US" w:eastAsia="zh-CN"/>
              </w:rPr>
              <w:t>学生工装(</w:t>
            </w:r>
            <w:r>
              <w:rPr>
                <w:rFonts w:hint="eastAsia" w:ascii="宋体" w:hAnsi="宋体" w:eastAsia="宋体" w:cs="宋体"/>
                <w:color w:val="auto"/>
                <w:sz w:val="21"/>
                <w:szCs w:val="21"/>
                <w:highlight w:val="none"/>
              </w:rPr>
              <w:t>工装套装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西装套装</w:t>
            </w:r>
            <w:r>
              <w:rPr>
                <w:rFonts w:hint="eastAsia" w:cs="宋体"/>
                <w:color w:val="auto"/>
                <w:sz w:val="21"/>
                <w:szCs w:val="21"/>
                <w:highlight w:val="none"/>
                <w:lang w:val="en-US" w:eastAsia="zh-CN"/>
              </w:rPr>
              <w:t>)</w:t>
            </w:r>
          </w:p>
        </w:tc>
        <w:tc>
          <w:tcPr>
            <w:tcW w:w="5455" w:type="dxa"/>
            <w:vAlign w:val="center"/>
          </w:tcPr>
          <w:p>
            <w:pPr>
              <w:pStyle w:val="44"/>
              <w:rPr>
                <w:rStyle w:val="64"/>
                <w:rFonts w:cs="宋体"/>
                <w:color w:val="auto"/>
                <w:szCs w:val="21"/>
                <w:highlight w:val="none"/>
                <w:u w:val="single"/>
              </w:rPr>
            </w:pPr>
            <w:r>
              <w:rPr>
                <w:rStyle w:val="64"/>
                <w:rFonts w:hint="eastAsia" w:cs="宋体"/>
                <w:color w:val="auto"/>
                <w:szCs w:val="21"/>
                <w:highlight w:val="none"/>
              </w:rPr>
              <w:t>小写：</w:t>
            </w:r>
            <w:r>
              <w:rPr>
                <w:rFonts w:hint="eastAsia" w:cs="宋体"/>
                <w:color w:val="auto"/>
                <w:sz w:val="21"/>
                <w:szCs w:val="21"/>
                <w:highlight w:val="none"/>
                <w:lang w:val="en-US" w:eastAsia="zh-CN"/>
              </w:rPr>
              <w:t>在单价最高限价</w:t>
            </w:r>
            <w:r>
              <w:rPr>
                <w:rFonts w:hint="eastAsia" w:cs="宋体"/>
                <w:color w:val="auto"/>
                <w:sz w:val="21"/>
                <w:szCs w:val="21"/>
                <w:highlight w:val="none"/>
              </w:rPr>
              <w:t>的基础上</w:t>
            </w:r>
            <w:r>
              <w:rPr>
                <w:rFonts w:hint="eastAsia" w:cs="宋体"/>
                <w:color w:val="auto"/>
                <w:sz w:val="21"/>
                <w:szCs w:val="21"/>
                <w:highlight w:val="none"/>
                <w:lang w:val="en-US" w:eastAsia="zh-CN"/>
              </w:rPr>
              <w:t>整体</w:t>
            </w:r>
            <w:r>
              <w:rPr>
                <w:rFonts w:hint="eastAsia" w:cs="宋体"/>
                <w:color w:val="auto"/>
                <w:sz w:val="21"/>
                <w:szCs w:val="21"/>
                <w:highlight w:val="none"/>
              </w:rPr>
              <w:t>下浮</w:t>
            </w:r>
            <w:r>
              <w:rPr>
                <w:rFonts w:hint="eastAsia" w:cs="宋体"/>
                <w:color w:val="auto"/>
                <w:sz w:val="21"/>
                <w:szCs w:val="21"/>
                <w:highlight w:val="none"/>
                <w:u w:val="single"/>
              </w:rPr>
              <w:t xml:space="preserve">     %</w:t>
            </w:r>
          </w:p>
          <w:p>
            <w:pPr>
              <w:pStyle w:val="44"/>
              <w:rPr>
                <w:rFonts w:cs="宋体"/>
                <w:color w:val="auto"/>
                <w:sz w:val="21"/>
                <w:szCs w:val="21"/>
                <w:highlight w:val="none"/>
                <w:u w:val="single"/>
              </w:rPr>
            </w:pPr>
            <w:r>
              <w:rPr>
                <w:rStyle w:val="64"/>
                <w:rFonts w:hint="eastAsia" w:cs="宋体"/>
                <w:color w:val="auto"/>
                <w:szCs w:val="21"/>
                <w:highlight w:val="none"/>
              </w:rPr>
              <w:t>大写：</w:t>
            </w:r>
            <w:r>
              <w:rPr>
                <w:rFonts w:hint="eastAsia" w:cs="宋体"/>
                <w:color w:val="auto"/>
                <w:sz w:val="21"/>
                <w:szCs w:val="21"/>
                <w:highlight w:val="none"/>
                <w:lang w:val="en-US" w:eastAsia="zh-CN"/>
              </w:rPr>
              <w:t>在单价最高限价</w:t>
            </w:r>
            <w:r>
              <w:rPr>
                <w:rFonts w:hint="eastAsia" w:cs="宋体"/>
                <w:color w:val="auto"/>
                <w:sz w:val="21"/>
                <w:szCs w:val="21"/>
                <w:highlight w:val="none"/>
              </w:rPr>
              <w:t>的基础上</w:t>
            </w:r>
            <w:r>
              <w:rPr>
                <w:rFonts w:hint="eastAsia" w:cs="宋体"/>
                <w:color w:val="auto"/>
                <w:sz w:val="21"/>
                <w:szCs w:val="21"/>
                <w:highlight w:val="none"/>
                <w:lang w:val="en-US" w:eastAsia="zh-CN"/>
              </w:rPr>
              <w:t>整体</w:t>
            </w:r>
            <w:r>
              <w:rPr>
                <w:rFonts w:hint="eastAsia" w:cs="宋体"/>
                <w:color w:val="auto"/>
                <w:sz w:val="21"/>
                <w:szCs w:val="21"/>
                <w:highlight w:val="none"/>
              </w:rPr>
              <w:t>下浮</w:t>
            </w:r>
            <w:r>
              <w:rPr>
                <w:rStyle w:val="64"/>
                <w:rFonts w:hint="eastAsia" w:cs="宋体"/>
                <w:color w:val="auto"/>
                <w:szCs w:val="21"/>
                <w:highlight w:val="none"/>
              </w:rPr>
              <w:t>百分之</w:t>
            </w:r>
            <w:r>
              <w:rPr>
                <w:rStyle w:val="64"/>
                <w:rFonts w:hint="eastAsia" w:cs="宋体"/>
                <w:color w:val="auto"/>
                <w:szCs w:val="21"/>
                <w:highlight w:val="none"/>
                <w:u w:val="single"/>
              </w:rPr>
              <w:t xml:space="preserve">     </w:t>
            </w:r>
          </w:p>
        </w:tc>
        <w:tc>
          <w:tcPr>
            <w:tcW w:w="2028" w:type="dxa"/>
            <w:vAlign w:val="center"/>
          </w:tcPr>
          <w:p>
            <w:pPr>
              <w:pStyle w:val="44"/>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56" w:type="dxa"/>
            <w:gridSpan w:val="3"/>
            <w:tcBorders>
              <w:bottom w:val="single" w:color="auto" w:sz="4" w:space="0"/>
            </w:tcBorders>
            <w:vAlign w:val="center"/>
          </w:tcPr>
          <w:p>
            <w:pPr>
              <w:pStyle w:val="44"/>
              <w:rPr>
                <w:rFonts w:cs="宋体"/>
                <w:color w:val="auto"/>
                <w:sz w:val="21"/>
                <w:szCs w:val="21"/>
                <w:highlight w:val="none"/>
              </w:rPr>
            </w:pPr>
            <w:r>
              <w:rPr>
                <w:rFonts w:hint="eastAsia" w:cs="宋体"/>
                <w:b/>
                <w:bCs/>
                <w:color w:val="auto"/>
                <w:sz w:val="21"/>
                <w:szCs w:val="21"/>
                <w:highlight w:val="none"/>
              </w:rPr>
              <w:t>履约时间：</w:t>
            </w:r>
          </w:p>
        </w:tc>
      </w:tr>
    </w:tbl>
    <w:p>
      <w:pPr>
        <w:pStyle w:val="49"/>
        <w:ind w:firstLine="482"/>
        <w:rPr>
          <w:b w:val="0"/>
          <w:bCs/>
          <w:color w:val="auto"/>
          <w:highlight w:val="none"/>
        </w:rPr>
      </w:pPr>
      <w:r>
        <w:rPr>
          <w:rFonts w:hint="eastAsia"/>
          <w:color w:val="auto"/>
          <w:highlight w:val="none"/>
        </w:rPr>
        <w:t>注：</w:t>
      </w:r>
      <w:r>
        <w:rPr>
          <w:rFonts w:hint="eastAsia"/>
          <w:b w:val="0"/>
          <w:bCs/>
          <w:color w:val="auto"/>
          <w:highlight w:val="none"/>
        </w:rPr>
        <w:t>①报价应是投标人响应招标项目要求的全部采购内容的价格体现，包括但不限于测量</w:t>
      </w:r>
      <w:r>
        <w:rPr>
          <w:rFonts w:hint="eastAsia"/>
          <w:b w:val="0"/>
          <w:bCs/>
          <w:color w:val="auto"/>
          <w:highlight w:val="none"/>
          <w:lang w:eastAsia="zh-CN"/>
        </w:rPr>
        <w:t>、</w:t>
      </w:r>
      <w:r>
        <w:rPr>
          <w:rFonts w:hint="eastAsia"/>
          <w:b w:val="0"/>
          <w:bCs/>
          <w:color w:val="auto"/>
          <w:highlight w:val="none"/>
        </w:rPr>
        <w:t>服装设计</w:t>
      </w:r>
      <w:r>
        <w:rPr>
          <w:rFonts w:hint="eastAsia"/>
          <w:b w:val="0"/>
          <w:bCs/>
          <w:color w:val="auto"/>
          <w:highlight w:val="none"/>
          <w:lang w:eastAsia="zh-CN"/>
        </w:rPr>
        <w:t>、</w:t>
      </w:r>
      <w:r>
        <w:rPr>
          <w:rFonts w:hint="eastAsia"/>
          <w:b w:val="0"/>
          <w:bCs/>
          <w:color w:val="auto"/>
          <w:highlight w:val="none"/>
        </w:rPr>
        <w:t>原材料</w:t>
      </w:r>
      <w:r>
        <w:rPr>
          <w:rFonts w:hint="eastAsia"/>
          <w:b w:val="0"/>
          <w:bCs/>
          <w:color w:val="auto"/>
          <w:highlight w:val="none"/>
          <w:lang w:eastAsia="zh-CN"/>
        </w:rPr>
        <w:t>、</w:t>
      </w:r>
      <w:r>
        <w:rPr>
          <w:rFonts w:hint="eastAsia"/>
          <w:b w:val="0"/>
          <w:bCs/>
          <w:color w:val="auto"/>
          <w:highlight w:val="none"/>
        </w:rPr>
        <w:t>服装制作</w:t>
      </w:r>
      <w:r>
        <w:rPr>
          <w:rFonts w:hint="eastAsia"/>
          <w:b w:val="0"/>
          <w:bCs/>
          <w:color w:val="auto"/>
          <w:highlight w:val="none"/>
          <w:lang w:eastAsia="zh-CN"/>
        </w:rPr>
        <w:t>、</w:t>
      </w:r>
      <w:r>
        <w:rPr>
          <w:rFonts w:hint="eastAsia"/>
          <w:b w:val="0"/>
          <w:bCs/>
          <w:color w:val="auto"/>
          <w:highlight w:val="none"/>
        </w:rPr>
        <w:t>包装</w:t>
      </w:r>
      <w:r>
        <w:rPr>
          <w:rFonts w:hint="eastAsia"/>
          <w:b w:val="0"/>
          <w:bCs/>
          <w:color w:val="auto"/>
          <w:highlight w:val="none"/>
          <w:lang w:eastAsia="zh-CN"/>
        </w:rPr>
        <w:t>、</w:t>
      </w:r>
      <w:r>
        <w:rPr>
          <w:rFonts w:hint="eastAsia"/>
          <w:b w:val="0"/>
          <w:bCs/>
          <w:color w:val="auto"/>
          <w:highlight w:val="none"/>
        </w:rPr>
        <w:t>运输</w:t>
      </w:r>
      <w:r>
        <w:rPr>
          <w:rFonts w:hint="eastAsia"/>
          <w:b w:val="0"/>
          <w:bCs/>
          <w:color w:val="auto"/>
          <w:highlight w:val="none"/>
          <w:lang w:eastAsia="zh-CN"/>
        </w:rPr>
        <w:t>、</w:t>
      </w:r>
      <w:r>
        <w:rPr>
          <w:rFonts w:hint="eastAsia"/>
          <w:b w:val="0"/>
          <w:bCs/>
          <w:color w:val="auto"/>
          <w:highlight w:val="none"/>
        </w:rPr>
        <w:t>质检</w:t>
      </w:r>
      <w:r>
        <w:rPr>
          <w:rFonts w:hint="eastAsia"/>
          <w:b w:val="0"/>
          <w:bCs/>
          <w:color w:val="auto"/>
          <w:highlight w:val="none"/>
          <w:lang w:eastAsia="zh-CN"/>
        </w:rPr>
        <w:t>、</w:t>
      </w:r>
      <w:r>
        <w:rPr>
          <w:rFonts w:hint="eastAsia"/>
          <w:b w:val="0"/>
          <w:bCs/>
          <w:color w:val="auto"/>
          <w:highlight w:val="none"/>
        </w:rPr>
        <w:t>人工</w:t>
      </w:r>
      <w:r>
        <w:rPr>
          <w:rFonts w:hint="eastAsia"/>
          <w:b w:val="0"/>
          <w:bCs/>
          <w:color w:val="auto"/>
          <w:highlight w:val="none"/>
          <w:lang w:eastAsia="zh-CN"/>
        </w:rPr>
        <w:t>、</w:t>
      </w:r>
      <w:r>
        <w:rPr>
          <w:rFonts w:hint="eastAsia"/>
          <w:b w:val="0"/>
          <w:bCs/>
          <w:color w:val="auto"/>
          <w:highlight w:val="none"/>
        </w:rPr>
        <w:t>售后服务</w:t>
      </w:r>
      <w:r>
        <w:rPr>
          <w:rFonts w:hint="eastAsia"/>
          <w:b w:val="0"/>
          <w:bCs/>
          <w:color w:val="auto"/>
          <w:highlight w:val="none"/>
          <w:lang w:val="en-US" w:eastAsia="zh-CN"/>
        </w:rPr>
        <w:t>(发售、</w:t>
      </w:r>
      <w:r>
        <w:rPr>
          <w:rFonts w:hint="eastAsia"/>
          <w:b w:val="0"/>
          <w:bCs/>
          <w:color w:val="auto"/>
          <w:highlight w:val="none"/>
        </w:rPr>
        <w:t>修补</w:t>
      </w:r>
      <w:r>
        <w:rPr>
          <w:rFonts w:hint="eastAsia"/>
          <w:b w:val="0"/>
          <w:bCs/>
          <w:color w:val="auto"/>
          <w:highlight w:val="none"/>
          <w:lang w:eastAsia="zh-CN"/>
        </w:rPr>
        <w:t>、</w:t>
      </w:r>
      <w:r>
        <w:rPr>
          <w:rFonts w:hint="eastAsia"/>
          <w:b w:val="0"/>
          <w:bCs/>
          <w:color w:val="auto"/>
          <w:highlight w:val="none"/>
        </w:rPr>
        <w:t>更换</w:t>
      </w:r>
      <w:r>
        <w:rPr>
          <w:rFonts w:hint="eastAsia"/>
          <w:b w:val="0"/>
          <w:bCs/>
          <w:color w:val="auto"/>
          <w:highlight w:val="none"/>
          <w:lang w:val="en-US" w:eastAsia="zh-CN"/>
        </w:rPr>
        <w:t>)</w:t>
      </w:r>
      <w:r>
        <w:rPr>
          <w:rFonts w:hint="eastAsia"/>
          <w:b w:val="0"/>
          <w:bCs/>
          <w:color w:val="auto"/>
          <w:highlight w:val="none"/>
        </w:rPr>
        <w:t>等完成服装交付所需的所有费用。</w:t>
      </w:r>
    </w:p>
    <w:p>
      <w:pPr>
        <w:pStyle w:val="49"/>
        <w:rPr>
          <w:b w:val="0"/>
          <w:bCs/>
          <w:color w:val="auto"/>
          <w:highlight w:val="none"/>
        </w:rPr>
      </w:pPr>
      <w:r>
        <w:rPr>
          <w:rFonts w:hint="eastAsia"/>
          <w:b w:val="0"/>
          <w:bCs/>
          <w:color w:val="auto"/>
          <w:highlight w:val="none"/>
        </w:rPr>
        <w:t>②“开标一览表”为多页的，每页均需</w:t>
      </w:r>
      <w:r>
        <w:rPr>
          <w:rFonts w:hint="eastAsia"/>
          <w:b w:val="0"/>
          <w:bCs/>
          <w:color w:val="auto"/>
          <w:highlight w:val="none"/>
          <w:lang w:val="en-US" w:eastAsia="zh-CN"/>
        </w:rPr>
        <w:t>加</w:t>
      </w:r>
      <w:r>
        <w:rPr>
          <w:rFonts w:hint="eastAsia"/>
          <w:b w:val="0"/>
          <w:bCs/>
          <w:color w:val="auto"/>
          <w:highlight w:val="none"/>
        </w:rPr>
        <w:t>盖投标人印章，否则作无效投标处理。</w:t>
      </w:r>
    </w:p>
    <w:p>
      <w:pPr>
        <w:pStyle w:val="49"/>
        <w:ind w:firstLine="482"/>
        <w:rPr>
          <w:color w:val="auto"/>
          <w:highlight w:val="none"/>
        </w:rPr>
      </w:pPr>
      <w:r>
        <w:rPr>
          <w:rFonts w:hint="eastAsia"/>
          <w:color w:val="auto"/>
          <w:highlight w:val="none"/>
        </w:rPr>
        <w:t>③“开标一览表”除了单独密封递交外，其他投标文件(正副本)中也应当提供。</w:t>
      </w:r>
    </w:p>
    <w:p>
      <w:pPr>
        <w:pStyle w:val="44"/>
        <w:rPr>
          <w:color w:val="auto"/>
          <w:highlight w:val="none"/>
        </w:rPr>
      </w:pPr>
    </w:p>
    <w:p>
      <w:pPr>
        <w:pStyle w:val="44"/>
        <w:rPr>
          <w:color w:val="auto"/>
          <w:highlight w:val="none"/>
        </w:rPr>
      </w:pPr>
    </w:p>
    <w:p>
      <w:pPr>
        <w:pStyle w:val="44"/>
        <w:ind w:firstLine="480" w:firstLineChars="200"/>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(盖章)</w:t>
      </w:r>
    </w:p>
    <w:p>
      <w:pPr>
        <w:pStyle w:val="44"/>
        <w:ind w:firstLine="480" w:firstLineChars="200"/>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pStyle w:val="44"/>
        <w:ind w:firstLine="480" w:firstLineChars="200"/>
        <w:rPr>
          <w:color w:val="auto"/>
          <w:highlight w:val="none"/>
        </w:rPr>
      </w:pPr>
      <w:r>
        <w:rPr>
          <w:rFonts w:hint="eastAsia"/>
          <w:color w:val="auto"/>
          <w:highlight w:val="none"/>
        </w:rPr>
        <w:t>投标日期：</w:t>
      </w:r>
      <w:bookmarkStart w:id="976" w:name="_Toc7728"/>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br w:type="page"/>
      </w:r>
    </w:p>
    <w:bookmarkEnd w:id="976"/>
    <w:p>
      <w:pPr>
        <w:pStyle w:val="46"/>
        <w:numPr>
          <w:ilvl w:val="0"/>
          <w:numId w:val="26"/>
        </w:numPr>
        <w:spacing w:before="120" w:after="120"/>
        <w:ind w:firstLine="0"/>
        <w:rPr>
          <w:color w:val="auto"/>
          <w:highlight w:val="none"/>
        </w:rPr>
      </w:pPr>
      <w:bookmarkStart w:id="977" w:name="_Toc8824"/>
      <w:bookmarkStart w:id="978" w:name="_Toc7693"/>
      <w:bookmarkStart w:id="979" w:name="_Toc11461"/>
      <w:bookmarkStart w:id="980" w:name="_Toc217446087"/>
      <w:bookmarkStart w:id="981" w:name="_Toc307564875"/>
      <w:bookmarkStart w:id="982" w:name="_Toc327196310"/>
      <w:bookmarkStart w:id="983" w:name="_Toc21006"/>
      <w:bookmarkStart w:id="984" w:name="_Toc307501130"/>
      <w:bookmarkStart w:id="985" w:name="_Toc319440166"/>
      <w:bookmarkStart w:id="986" w:name="_Toc25577"/>
      <w:bookmarkStart w:id="987" w:name="_Toc7835"/>
      <w:bookmarkStart w:id="988" w:name="_Toc319440168"/>
      <w:bookmarkStart w:id="989" w:name="_Toc26124"/>
      <w:bookmarkStart w:id="990" w:name="_Toc327196312"/>
      <w:bookmarkStart w:id="991" w:name="_Toc24507"/>
      <w:r>
        <w:rPr>
          <w:rFonts w:hint="eastAsia"/>
          <w:color w:val="auto"/>
          <w:highlight w:val="none"/>
        </w:rPr>
        <w:t>商务应答表</w:t>
      </w:r>
      <w:bookmarkEnd w:id="977"/>
      <w:bookmarkEnd w:id="978"/>
      <w:bookmarkEnd w:id="979"/>
      <w:bookmarkEnd w:id="980"/>
      <w:bookmarkEnd w:id="981"/>
      <w:bookmarkEnd w:id="982"/>
      <w:bookmarkEnd w:id="983"/>
      <w:bookmarkEnd w:id="984"/>
      <w:bookmarkEnd w:id="985"/>
      <w:bookmarkEnd w:id="986"/>
      <w:bookmarkEnd w:id="987"/>
    </w:p>
    <w:p>
      <w:pPr>
        <w:pStyle w:val="44"/>
        <w:rPr>
          <w:color w:val="auto"/>
          <w:highlight w:val="none"/>
          <w:u w:val="singl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rPr>
        <w:t xml:space="preserve"> </w:t>
      </w:r>
    </w:p>
    <w:p>
      <w:pPr>
        <w:pStyle w:val="44"/>
        <w:rPr>
          <w:color w:val="auto"/>
          <w:highlight w:val="none"/>
        </w:rPr>
      </w:pPr>
      <w:r>
        <w:rPr>
          <w:rFonts w:hint="eastAsia"/>
          <w:color w:val="auto"/>
          <w:highlight w:val="none"/>
        </w:rPr>
        <w:t>项目编号：</w:t>
      </w:r>
      <w:r>
        <w:rPr>
          <w:rFonts w:hint="eastAsia"/>
          <w:color w:val="auto"/>
          <w:highlight w:val="none"/>
          <w:u w:val="single"/>
        </w:rPr>
        <w:t xml:space="preserve">                             </w:t>
      </w:r>
    </w:p>
    <w:tbl>
      <w:tblPr>
        <w:tblStyle w:val="23"/>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061"/>
        <w:gridCol w:w="3900"/>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序号</w:t>
            </w:r>
          </w:p>
        </w:tc>
        <w:tc>
          <w:tcPr>
            <w:tcW w:w="4061"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lang w:val="en-US" w:eastAsia="zh-CN"/>
              </w:rPr>
              <w:t>招标</w:t>
            </w:r>
            <w:r>
              <w:rPr>
                <w:rFonts w:hint="eastAsia" w:cs="宋体"/>
                <w:b/>
                <w:bCs/>
                <w:color w:val="auto"/>
                <w:sz w:val="21"/>
                <w:highlight w:val="none"/>
              </w:rPr>
              <w:t>文件第六章的商务要求</w:t>
            </w:r>
            <w:r>
              <w:rPr>
                <w:rFonts w:hint="eastAsia" w:cs="宋体"/>
                <w:b/>
                <w:bCs/>
                <w:color w:val="auto"/>
                <w:sz w:val="21"/>
                <w:highlight w:val="none"/>
                <w:lang w:eastAsia="zh-CN"/>
              </w:rPr>
              <w:t>、</w:t>
            </w:r>
            <w:r>
              <w:rPr>
                <w:rFonts w:hint="eastAsia" w:cs="宋体"/>
                <w:b/>
                <w:bCs/>
                <w:color w:val="auto"/>
                <w:sz w:val="21"/>
                <w:highlight w:val="none"/>
              </w:rPr>
              <w:t>履约保证金，第八章</w:t>
            </w:r>
            <w:r>
              <w:rPr>
                <w:rFonts w:hint="eastAsia" w:cs="宋体"/>
                <w:b/>
                <w:bCs/>
                <w:color w:val="auto"/>
                <w:sz w:val="21"/>
                <w:highlight w:val="none"/>
                <w:lang w:eastAsia="zh-CN"/>
              </w:rPr>
              <w:t>采购合同</w:t>
            </w:r>
            <w:r>
              <w:rPr>
                <w:rFonts w:hint="eastAsia" w:cs="宋体"/>
                <w:b/>
                <w:bCs/>
                <w:color w:val="auto"/>
                <w:sz w:val="21"/>
                <w:highlight w:val="none"/>
              </w:rPr>
              <w:t>主要条款</w:t>
            </w:r>
          </w:p>
        </w:tc>
        <w:tc>
          <w:tcPr>
            <w:tcW w:w="3900"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投标应答</w:t>
            </w:r>
          </w:p>
        </w:tc>
        <w:tc>
          <w:tcPr>
            <w:tcW w:w="1223"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905" w:type="dxa"/>
            <w:gridSpan w:val="4"/>
          </w:tcPr>
          <w:p>
            <w:pPr>
              <w:wordWrap w:val="0"/>
              <w:topLinePunct/>
              <w:spacing w:line="360" w:lineRule="exact"/>
              <w:rPr>
                <w:rFonts w:cs="宋体"/>
                <w:b/>
                <w:bCs/>
                <w:color w:val="auto"/>
                <w:sz w:val="21"/>
                <w:highlight w:val="none"/>
              </w:rPr>
            </w:pPr>
            <w:r>
              <w:rPr>
                <w:rFonts w:hint="eastAsia" w:cs="宋体"/>
                <w:color w:val="auto"/>
                <w:sz w:val="21"/>
                <w:highlight w:val="none"/>
              </w:rPr>
              <w:t>我公司承诺</w:t>
            </w:r>
            <w:r>
              <w:rPr>
                <w:rFonts w:hint="eastAsia" w:cs="宋体"/>
                <w:color w:val="auto"/>
                <w:sz w:val="21"/>
                <w:highlight w:val="none"/>
                <w:u w:val="single"/>
              </w:rPr>
              <w:t xml:space="preserve">       </w:t>
            </w:r>
            <w:r>
              <w:rPr>
                <w:rFonts w:hint="eastAsia" w:cs="宋体"/>
                <w:color w:val="auto"/>
                <w:sz w:val="21"/>
                <w:highlight w:val="none"/>
              </w:rPr>
              <w:t>(响应/不响应)</w:t>
            </w:r>
            <w:r>
              <w:rPr>
                <w:rFonts w:hint="eastAsia" w:cs="宋体"/>
                <w:color w:val="auto"/>
                <w:sz w:val="21"/>
                <w:highlight w:val="none"/>
                <w:lang w:val="en-US" w:eastAsia="zh-CN"/>
              </w:rPr>
              <w:t>招标</w:t>
            </w:r>
            <w:r>
              <w:rPr>
                <w:rFonts w:hint="eastAsia" w:cs="宋体"/>
                <w:color w:val="auto"/>
                <w:sz w:val="21"/>
                <w:szCs w:val="21"/>
                <w:highlight w:val="none"/>
              </w:rPr>
              <w:t>文件第</w:t>
            </w:r>
            <w:r>
              <w:rPr>
                <w:rFonts w:hint="eastAsia" w:cs="宋体"/>
                <w:color w:val="auto"/>
                <w:sz w:val="21"/>
                <w:szCs w:val="21"/>
                <w:highlight w:val="none"/>
                <w:lang w:val="en-US" w:eastAsia="zh-CN"/>
              </w:rPr>
              <w:t>六</w:t>
            </w:r>
            <w:r>
              <w:rPr>
                <w:rFonts w:hint="eastAsia" w:cs="宋体"/>
                <w:color w:val="auto"/>
                <w:sz w:val="21"/>
                <w:szCs w:val="21"/>
                <w:highlight w:val="none"/>
              </w:rPr>
              <w:t>章</w:t>
            </w:r>
            <w:r>
              <w:rPr>
                <w:rFonts w:hint="eastAsia" w:cs="宋体"/>
                <w:b/>
                <w:bCs/>
                <w:color w:val="auto"/>
                <w:sz w:val="21"/>
                <w:highlight w:val="none"/>
              </w:rPr>
              <w:t>商务要求</w:t>
            </w:r>
            <w:r>
              <w:rPr>
                <w:rFonts w:hint="eastAsia" w:cs="宋体"/>
                <w:b/>
                <w:bCs/>
                <w:color w:val="auto"/>
                <w:sz w:val="21"/>
                <w:highlight w:val="none"/>
                <w:lang w:eastAsia="zh-CN"/>
              </w:rPr>
              <w:t>、</w:t>
            </w:r>
            <w:r>
              <w:rPr>
                <w:rFonts w:hint="eastAsia" w:cs="宋体"/>
                <w:b/>
                <w:bCs/>
                <w:color w:val="auto"/>
                <w:sz w:val="21"/>
                <w:highlight w:val="none"/>
              </w:rPr>
              <w:t>履约保证金，第八章</w:t>
            </w:r>
            <w:r>
              <w:rPr>
                <w:rFonts w:hint="eastAsia" w:cs="宋体"/>
                <w:b/>
                <w:bCs/>
                <w:color w:val="auto"/>
                <w:sz w:val="21"/>
                <w:highlight w:val="none"/>
                <w:lang w:eastAsia="zh-CN"/>
              </w:rPr>
              <w:t>采购合同</w:t>
            </w:r>
            <w:r>
              <w:rPr>
                <w:rFonts w:hint="eastAsia" w:cs="宋体"/>
                <w:b/>
                <w:bCs/>
                <w:color w:val="auto"/>
                <w:sz w:val="21"/>
                <w:highlight w:val="none"/>
              </w:rPr>
              <w:t>主要条款</w:t>
            </w:r>
            <w:r>
              <w:rPr>
                <w:rFonts w:hint="eastAsia" w:cs="宋体"/>
                <w:color w:val="auto"/>
                <w:sz w:val="21"/>
                <w:szCs w:val="21"/>
                <w:highlight w:val="none"/>
              </w:rPr>
              <w:t>的所有条款，如有偏离的条款，均已在下方列出。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061" w:type="dxa"/>
          </w:tcPr>
          <w:p>
            <w:pPr>
              <w:wordWrap w:val="0"/>
              <w:topLinePunct/>
              <w:spacing w:line="360" w:lineRule="exact"/>
              <w:jc w:val="center"/>
              <w:rPr>
                <w:rFonts w:cs="宋体"/>
                <w:b/>
                <w:bCs/>
                <w:color w:val="auto"/>
                <w:sz w:val="21"/>
                <w:highlight w:val="none"/>
              </w:rPr>
            </w:pPr>
          </w:p>
        </w:tc>
        <w:tc>
          <w:tcPr>
            <w:tcW w:w="3900"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061" w:type="dxa"/>
          </w:tcPr>
          <w:p>
            <w:pPr>
              <w:wordWrap w:val="0"/>
              <w:topLinePunct/>
              <w:spacing w:line="360" w:lineRule="exact"/>
              <w:jc w:val="center"/>
              <w:rPr>
                <w:rFonts w:cs="宋体"/>
                <w:b/>
                <w:bCs/>
                <w:color w:val="auto"/>
                <w:sz w:val="21"/>
                <w:highlight w:val="none"/>
              </w:rPr>
            </w:pPr>
          </w:p>
        </w:tc>
        <w:tc>
          <w:tcPr>
            <w:tcW w:w="3900"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wordWrap w:val="0"/>
              <w:topLinePunct/>
              <w:spacing w:line="360" w:lineRule="exact"/>
              <w:jc w:val="center"/>
              <w:rPr>
                <w:rFonts w:cs="宋体"/>
                <w:b/>
                <w:bCs/>
                <w:color w:val="auto"/>
                <w:sz w:val="21"/>
                <w:highlight w:val="none"/>
              </w:rPr>
            </w:pPr>
          </w:p>
        </w:tc>
        <w:tc>
          <w:tcPr>
            <w:tcW w:w="4061" w:type="dxa"/>
          </w:tcPr>
          <w:p>
            <w:pPr>
              <w:wordWrap w:val="0"/>
              <w:topLinePunct/>
              <w:spacing w:line="360" w:lineRule="exact"/>
              <w:jc w:val="center"/>
              <w:rPr>
                <w:rFonts w:cs="宋体"/>
                <w:b/>
                <w:bCs/>
                <w:color w:val="auto"/>
                <w:sz w:val="21"/>
                <w:highlight w:val="none"/>
              </w:rPr>
            </w:pPr>
          </w:p>
        </w:tc>
        <w:tc>
          <w:tcPr>
            <w:tcW w:w="3900" w:type="dxa"/>
          </w:tcPr>
          <w:p>
            <w:pPr>
              <w:wordWrap w:val="0"/>
              <w:topLinePunct/>
              <w:spacing w:line="360" w:lineRule="exact"/>
              <w:jc w:val="center"/>
              <w:rPr>
                <w:rFonts w:cs="宋体"/>
                <w:b/>
                <w:bCs/>
                <w:color w:val="auto"/>
                <w:sz w:val="21"/>
                <w:highlight w:val="none"/>
              </w:rPr>
            </w:pPr>
          </w:p>
        </w:tc>
        <w:tc>
          <w:tcPr>
            <w:tcW w:w="1223" w:type="dxa"/>
          </w:tcPr>
          <w:p>
            <w:pPr>
              <w:wordWrap w:val="0"/>
              <w:topLinePunct/>
              <w:spacing w:line="360" w:lineRule="exact"/>
              <w:jc w:val="center"/>
              <w:rPr>
                <w:rFonts w:cs="宋体"/>
                <w:b/>
                <w:bCs/>
                <w:color w:val="auto"/>
                <w:sz w:val="21"/>
                <w:highlight w:val="none"/>
              </w:rPr>
            </w:pPr>
          </w:p>
        </w:tc>
      </w:tr>
    </w:tbl>
    <w:p>
      <w:pPr>
        <w:pStyle w:val="49"/>
        <w:keepNext w:val="0"/>
        <w:keepLines w:val="0"/>
        <w:pageBreakBefore w:val="0"/>
        <w:widowControl w:val="0"/>
        <w:kinsoku/>
        <w:wordWrap w:val="0"/>
        <w:overflowPunct/>
        <w:topLinePunct/>
        <w:autoSpaceDE/>
        <w:autoSpaceDN/>
        <w:bidi w:val="0"/>
        <w:adjustRightInd w:val="0"/>
        <w:snapToGrid w:val="0"/>
        <w:spacing w:line="520" w:lineRule="exact"/>
        <w:ind w:firstLine="482"/>
        <w:textAlignment w:val="auto"/>
        <w:rPr>
          <w:rFonts w:cs="宋体"/>
          <w:b w:val="0"/>
          <w:bCs/>
          <w:color w:val="auto"/>
          <w:spacing w:val="0"/>
          <w:w w:val="100"/>
          <w:highlight w:val="none"/>
        </w:rPr>
      </w:pPr>
      <w:r>
        <w:rPr>
          <w:rFonts w:hint="eastAsia" w:cs="宋体"/>
          <w:color w:val="auto"/>
          <w:spacing w:val="0"/>
          <w:w w:val="100"/>
          <w:highlight w:val="none"/>
        </w:rPr>
        <w:t>注：</w:t>
      </w:r>
      <w:r>
        <w:rPr>
          <w:rFonts w:hint="eastAsia" w:cs="宋体"/>
          <w:b w:val="0"/>
          <w:bCs/>
          <w:color w:val="auto"/>
          <w:spacing w:val="0"/>
          <w:w w:val="100"/>
          <w:highlight w:val="none"/>
        </w:rPr>
        <w:t>①如与</w:t>
      </w:r>
      <w:r>
        <w:rPr>
          <w:rFonts w:hint="eastAsia" w:cs="宋体"/>
          <w:b w:val="0"/>
          <w:bCs/>
          <w:color w:val="auto"/>
          <w:spacing w:val="0"/>
          <w:w w:val="100"/>
          <w:highlight w:val="none"/>
          <w:lang w:val="en-US" w:eastAsia="zh-CN"/>
        </w:rPr>
        <w:t>招标</w:t>
      </w:r>
      <w:r>
        <w:rPr>
          <w:rFonts w:hint="eastAsia" w:cs="宋体"/>
          <w:b w:val="0"/>
          <w:bCs/>
          <w:color w:val="auto"/>
          <w:spacing w:val="0"/>
          <w:w w:val="100"/>
          <w:highlight w:val="none"/>
        </w:rPr>
        <w:t>文件第六章的商务要求</w:t>
      </w:r>
      <w:r>
        <w:rPr>
          <w:rFonts w:hint="eastAsia" w:cs="宋体"/>
          <w:b w:val="0"/>
          <w:bCs/>
          <w:color w:val="auto"/>
          <w:spacing w:val="0"/>
          <w:w w:val="100"/>
          <w:highlight w:val="none"/>
          <w:lang w:eastAsia="zh-CN"/>
        </w:rPr>
        <w:t>、</w:t>
      </w:r>
      <w:r>
        <w:rPr>
          <w:rFonts w:hint="eastAsia" w:cs="宋体"/>
          <w:b w:val="0"/>
          <w:bCs/>
          <w:color w:val="auto"/>
          <w:spacing w:val="0"/>
          <w:w w:val="100"/>
          <w:highlight w:val="none"/>
        </w:rPr>
        <w:t>履约保证金，第八章</w:t>
      </w:r>
      <w:r>
        <w:rPr>
          <w:rFonts w:hint="eastAsia" w:cs="宋体"/>
          <w:b w:val="0"/>
          <w:bCs/>
          <w:color w:val="auto"/>
          <w:spacing w:val="0"/>
          <w:w w:val="100"/>
          <w:highlight w:val="none"/>
          <w:lang w:eastAsia="zh-CN"/>
        </w:rPr>
        <w:t>采购合同</w:t>
      </w:r>
      <w:r>
        <w:rPr>
          <w:rFonts w:hint="eastAsia" w:cs="宋体"/>
          <w:b w:val="0"/>
          <w:bCs/>
          <w:color w:val="auto"/>
          <w:spacing w:val="0"/>
          <w:w w:val="100"/>
          <w:highlight w:val="none"/>
        </w:rPr>
        <w:t>主要条款有偏离(包括正偏离和负偏离)，</w:t>
      </w:r>
      <w:r>
        <w:rPr>
          <w:rFonts w:hint="eastAsia" w:cs="宋体"/>
          <w:color w:val="auto"/>
          <w:spacing w:val="0"/>
          <w:w w:val="100"/>
          <w:highlight w:val="none"/>
        </w:rPr>
        <w:t>请将偏离条款逐条应答</w:t>
      </w:r>
      <w:r>
        <w:rPr>
          <w:rFonts w:hint="eastAsia" w:cs="宋体"/>
          <w:b w:val="0"/>
          <w:bCs/>
          <w:color w:val="auto"/>
          <w:spacing w:val="0"/>
          <w:w w:val="100"/>
          <w:highlight w:val="none"/>
        </w:rPr>
        <w:t>，未在此表中进行应答或未明确偏离的条款视为默认完全响应和接受，供应商不得以未作应答而拒不接受</w:t>
      </w:r>
      <w:r>
        <w:rPr>
          <w:rFonts w:hint="eastAsia"/>
          <w:color w:val="auto"/>
          <w:spacing w:val="0"/>
          <w:w w:val="100"/>
          <w:highlight w:val="none"/>
        </w:rPr>
        <w:t>(要求提供承诺函或证明材料的条款，以供应商提供的承诺函内容或证明材料为准)</w:t>
      </w:r>
      <w:r>
        <w:rPr>
          <w:rFonts w:hint="eastAsia" w:cs="宋体"/>
          <w:b w:val="0"/>
          <w:bCs/>
          <w:color w:val="auto"/>
          <w:spacing w:val="0"/>
          <w:w w:val="100"/>
          <w:highlight w:val="none"/>
        </w:rPr>
        <w:t>。</w:t>
      </w:r>
    </w:p>
    <w:p>
      <w:pPr>
        <w:pStyle w:val="49"/>
        <w:keepNext w:val="0"/>
        <w:keepLines w:val="0"/>
        <w:pageBreakBefore w:val="0"/>
        <w:widowControl w:val="0"/>
        <w:kinsoku/>
        <w:wordWrap w:val="0"/>
        <w:overflowPunct/>
        <w:topLinePunct/>
        <w:autoSpaceDE/>
        <w:autoSpaceDN/>
        <w:bidi w:val="0"/>
        <w:adjustRightInd w:val="0"/>
        <w:snapToGrid w:val="0"/>
        <w:spacing w:line="520" w:lineRule="exact"/>
        <w:textAlignment w:val="auto"/>
        <w:rPr>
          <w:rFonts w:cs="宋体"/>
          <w:b w:val="0"/>
          <w:bCs/>
          <w:color w:val="auto"/>
          <w:spacing w:val="0"/>
          <w:w w:val="100"/>
          <w:highlight w:val="none"/>
        </w:rPr>
      </w:pPr>
      <w:r>
        <w:rPr>
          <w:rFonts w:hint="eastAsia" w:cs="宋体"/>
          <w:b w:val="0"/>
          <w:bCs/>
          <w:color w:val="auto"/>
          <w:spacing w:val="0"/>
          <w:w w:val="100"/>
          <w:highlight w:val="none"/>
        </w:rPr>
        <w:t>②供应商必须据实填写有偏离的条款，不得虚假应答，否则将取消其</w:t>
      </w:r>
      <w:r>
        <w:rPr>
          <w:rFonts w:hint="eastAsia" w:cs="宋体"/>
          <w:b w:val="0"/>
          <w:bCs/>
          <w:color w:val="auto"/>
          <w:spacing w:val="0"/>
          <w:w w:val="100"/>
          <w:highlight w:val="none"/>
          <w:lang w:val="en-US" w:eastAsia="zh-CN"/>
        </w:rPr>
        <w:t>中标</w:t>
      </w:r>
      <w:r>
        <w:rPr>
          <w:rFonts w:hint="eastAsia" w:cs="宋体"/>
          <w:b w:val="0"/>
          <w:bCs/>
          <w:color w:val="auto"/>
          <w:spacing w:val="0"/>
          <w:w w:val="100"/>
          <w:highlight w:val="none"/>
        </w:rPr>
        <w:t>资格。</w:t>
      </w:r>
    </w:p>
    <w:p>
      <w:pPr>
        <w:pStyle w:val="49"/>
        <w:keepNext w:val="0"/>
        <w:keepLines w:val="0"/>
        <w:pageBreakBefore w:val="0"/>
        <w:widowControl w:val="0"/>
        <w:kinsoku/>
        <w:wordWrap w:val="0"/>
        <w:overflowPunct/>
        <w:topLinePunct/>
        <w:autoSpaceDE/>
        <w:autoSpaceDN/>
        <w:bidi w:val="0"/>
        <w:adjustRightInd w:val="0"/>
        <w:snapToGrid w:val="0"/>
        <w:spacing w:line="520" w:lineRule="exact"/>
        <w:textAlignment w:val="auto"/>
        <w:rPr>
          <w:color w:val="auto"/>
          <w:highlight w:val="none"/>
        </w:rPr>
      </w:pPr>
      <w:r>
        <w:rPr>
          <w:rFonts w:hint="eastAsia" w:cs="宋体"/>
          <w:b w:val="0"/>
          <w:bCs/>
          <w:color w:val="auto"/>
          <w:spacing w:val="0"/>
          <w:w w:val="100"/>
          <w:highlight w:val="none"/>
        </w:rPr>
        <w:t>③评审时如对供应商</w:t>
      </w:r>
      <w:r>
        <w:rPr>
          <w:rFonts w:hint="eastAsia" w:cs="宋体"/>
          <w:b w:val="0"/>
          <w:bCs/>
          <w:color w:val="auto"/>
          <w:spacing w:val="0"/>
          <w:w w:val="100"/>
          <w:highlight w:val="none"/>
          <w:lang w:val="en-US" w:eastAsia="zh-CN"/>
        </w:rPr>
        <w:t>投标</w:t>
      </w:r>
      <w:r>
        <w:rPr>
          <w:rFonts w:hint="eastAsia" w:cs="宋体"/>
          <w:b w:val="0"/>
          <w:bCs/>
          <w:color w:val="auto"/>
          <w:spacing w:val="0"/>
          <w:w w:val="100"/>
          <w:highlight w:val="none"/>
        </w:rPr>
        <w:t>文件中商务应答的内容存在歧义的，可要求供应商进行澄清。</w:t>
      </w:r>
    </w:p>
    <w:p>
      <w:pPr>
        <w:pStyle w:val="44"/>
        <w:rPr>
          <w:color w:val="auto"/>
          <w:highlight w:val="none"/>
        </w:rPr>
      </w:pPr>
    </w:p>
    <w:p>
      <w:pPr>
        <w:pStyle w:val="44"/>
        <w:rPr>
          <w:color w:val="auto"/>
          <w:highlight w:val="none"/>
        </w:rPr>
      </w:pPr>
    </w:p>
    <w:p>
      <w:pPr>
        <w:pStyle w:val="48"/>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(盖章)</w:t>
      </w:r>
    </w:p>
    <w:p>
      <w:pPr>
        <w:pStyle w:val="48"/>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pStyle w:val="48"/>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44"/>
        <w:rPr>
          <w:color w:val="auto"/>
          <w:highlight w:val="none"/>
        </w:rPr>
      </w:pPr>
      <w:r>
        <w:rPr>
          <w:rFonts w:hint="eastAsia"/>
          <w:color w:val="auto"/>
          <w:highlight w:val="none"/>
        </w:rPr>
        <w:br w:type="page"/>
      </w:r>
    </w:p>
    <w:bookmarkEnd w:id="988"/>
    <w:bookmarkEnd w:id="989"/>
    <w:bookmarkEnd w:id="990"/>
    <w:p>
      <w:pPr>
        <w:pStyle w:val="46"/>
        <w:numPr>
          <w:ilvl w:val="0"/>
          <w:numId w:val="26"/>
        </w:numPr>
        <w:spacing w:before="120" w:after="120"/>
        <w:ind w:firstLine="0"/>
        <w:rPr>
          <w:color w:val="auto"/>
          <w:highlight w:val="none"/>
        </w:rPr>
      </w:pPr>
      <w:bookmarkStart w:id="992" w:name="_Toc23376"/>
      <w:bookmarkStart w:id="993" w:name="_Toc25122"/>
      <w:bookmarkStart w:id="994" w:name="_Toc21788"/>
      <w:bookmarkStart w:id="995" w:name="_Toc3995"/>
      <w:bookmarkStart w:id="996" w:name="_Toc25032"/>
      <w:bookmarkStart w:id="997" w:name="_Toc23430"/>
      <w:bookmarkStart w:id="998" w:name="_Toc26522"/>
      <w:r>
        <w:rPr>
          <w:rFonts w:hint="eastAsia"/>
          <w:color w:val="auto"/>
          <w:highlight w:val="none"/>
        </w:rPr>
        <w:t>投标产品技术参数表</w:t>
      </w:r>
      <w:bookmarkEnd w:id="992"/>
      <w:bookmarkEnd w:id="993"/>
      <w:bookmarkEnd w:id="994"/>
      <w:bookmarkEnd w:id="995"/>
      <w:bookmarkEnd w:id="996"/>
    </w:p>
    <w:p>
      <w:pPr>
        <w:pStyle w:val="44"/>
        <w:rPr>
          <w:color w:val="auto"/>
          <w:highlight w:val="non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rPr>
        <w:t xml:space="preserve">      </w:t>
      </w:r>
    </w:p>
    <w:p>
      <w:pPr>
        <w:pStyle w:val="44"/>
        <w:rPr>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23"/>
        <w:tblW w:w="9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4239"/>
        <w:gridCol w:w="3588"/>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68"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序号</w:t>
            </w:r>
          </w:p>
        </w:tc>
        <w:tc>
          <w:tcPr>
            <w:tcW w:w="4239"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lang w:val="en-US" w:eastAsia="zh-CN"/>
              </w:rPr>
              <w:t>招标</w:t>
            </w:r>
            <w:r>
              <w:rPr>
                <w:rFonts w:hint="eastAsia" w:cs="宋体"/>
                <w:b/>
                <w:bCs/>
                <w:color w:val="auto"/>
                <w:sz w:val="21"/>
                <w:highlight w:val="none"/>
              </w:rPr>
              <w:t>文件第</w:t>
            </w:r>
            <w:r>
              <w:rPr>
                <w:rFonts w:hint="eastAsia" w:cs="宋体"/>
                <w:b/>
                <w:bCs/>
                <w:color w:val="auto"/>
                <w:sz w:val="21"/>
                <w:highlight w:val="none"/>
                <w:lang w:val="en-US" w:eastAsia="zh-CN"/>
              </w:rPr>
              <w:t>六</w:t>
            </w:r>
            <w:r>
              <w:rPr>
                <w:rFonts w:hint="eastAsia" w:cs="宋体"/>
                <w:b/>
                <w:bCs/>
                <w:color w:val="auto"/>
                <w:sz w:val="21"/>
                <w:highlight w:val="none"/>
              </w:rPr>
              <w:t>章</w:t>
            </w:r>
            <w:r>
              <w:rPr>
                <w:rFonts w:hint="eastAsia" w:cs="宋体"/>
                <w:b/>
                <w:bCs/>
                <w:color w:val="auto"/>
                <w:sz w:val="21"/>
                <w:highlight w:val="none"/>
                <w:lang w:val="en-US" w:eastAsia="zh-CN"/>
              </w:rPr>
              <w:t>技术参数及配置要求</w:t>
            </w:r>
          </w:p>
        </w:tc>
        <w:tc>
          <w:tcPr>
            <w:tcW w:w="3588"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投标应答</w:t>
            </w:r>
          </w:p>
        </w:tc>
        <w:tc>
          <w:tcPr>
            <w:tcW w:w="1174" w:type="dxa"/>
            <w:vAlign w:val="center"/>
          </w:tcPr>
          <w:p>
            <w:pPr>
              <w:wordWrap w:val="0"/>
              <w:topLinePunct/>
              <w:spacing w:line="360" w:lineRule="exact"/>
              <w:jc w:val="center"/>
              <w:rPr>
                <w:rFonts w:cs="宋体"/>
                <w:b/>
                <w:bCs/>
                <w:color w:val="auto"/>
                <w:sz w:val="21"/>
                <w:highlight w:val="none"/>
              </w:rPr>
            </w:pPr>
            <w:r>
              <w:rPr>
                <w:rFonts w:hint="eastAsia" w:cs="宋体"/>
                <w:b/>
                <w:bCs/>
                <w:color w:val="auto"/>
                <w:sz w:val="21"/>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869" w:type="dxa"/>
            <w:gridSpan w:val="4"/>
          </w:tcPr>
          <w:p>
            <w:pPr>
              <w:wordWrap w:val="0"/>
              <w:topLinePunct/>
              <w:spacing w:line="360" w:lineRule="exact"/>
              <w:jc w:val="both"/>
              <w:rPr>
                <w:rFonts w:cs="宋体"/>
                <w:b/>
                <w:bCs/>
                <w:color w:val="auto"/>
                <w:sz w:val="21"/>
                <w:highlight w:val="none"/>
              </w:rPr>
            </w:pPr>
            <w:r>
              <w:rPr>
                <w:rFonts w:hint="eastAsia" w:cs="宋体"/>
                <w:color w:val="auto"/>
                <w:sz w:val="21"/>
                <w:highlight w:val="none"/>
              </w:rPr>
              <w:t>我公司承诺</w:t>
            </w:r>
            <w:r>
              <w:rPr>
                <w:rFonts w:hint="eastAsia" w:cs="宋体"/>
                <w:color w:val="auto"/>
                <w:sz w:val="21"/>
                <w:highlight w:val="none"/>
                <w:u w:val="single"/>
              </w:rPr>
              <w:t xml:space="preserve">       </w:t>
            </w:r>
            <w:r>
              <w:rPr>
                <w:rFonts w:hint="eastAsia" w:cs="宋体"/>
                <w:color w:val="auto"/>
                <w:sz w:val="21"/>
                <w:highlight w:val="none"/>
              </w:rPr>
              <w:t>(响应/不响应)</w:t>
            </w:r>
            <w:r>
              <w:rPr>
                <w:rFonts w:hint="eastAsia" w:cs="宋体"/>
                <w:b/>
                <w:bCs/>
                <w:color w:val="auto"/>
                <w:sz w:val="21"/>
                <w:highlight w:val="none"/>
                <w:lang w:val="en-US" w:eastAsia="zh-CN"/>
              </w:rPr>
              <w:t>招标</w:t>
            </w:r>
            <w:r>
              <w:rPr>
                <w:rFonts w:hint="eastAsia" w:cs="宋体"/>
                <w:b/>
                <w:bCs/>
                <w:color w:val="auto"/>
                <w:sz w:val="21"/>
                <w:highlight w:val="none"/>
              </w:rPr>
              <w:t>文件第</w:t>
            </w:r>
            <w:r>
              <w:rPr>
                <w:rFonts w:hint="eastAsia" w:cs="宋体"/>
                <w:b/>
                <w:bCs/>
                <w:color w:val="auto"/>
                <w:sz w:val="21"/>
                <w:highlight w:val="none"/>
                <w:lang w:val="en-US" w:eastAsia="zh-CN"/>
              </w:rPr>
              <w:t>六</w:t>
            </w:r>
            <w:r>
              <w:rPr>
                <w:rFonts w:hint="eastAsia" w:cs="宋体"/>
                <w:b/>
                <w:bCs/>
                <w:color w:val="auto"/>
                <w:sz w:val="21"/>
                <w:highlight w:val="none"/>
              </w:rPr>
              <w:t>章</w:t>
            </w:r>
            <w:r>
              <w:rPr>
                <w:rFonts w:hint="eastAsia" w:cs="宋体"/>
                <w:b/>
                <w:bCs/>
                <w:color w:val="auto"/>
                <w:sz w:val="21"/>
                <w:highlight w:val="none"/>
                <w:lang w:val="en-US" w:eastAsia="zh-CN"/>
              </w:rPr>
              <w:t>技术参数及配置要求</w:t>
            </w:r>
            <w:r>
              <w:rPr>
                <w:rFonts w:hint="eastAsia" w:cs="宋体"/>
                <w:color w:val="auto"/>
                <w:sz w:val="21"/>
                <w:szCs w:val="21"/>
                <w:highlight w:val="none"/>
              </w:rPr>
              <w:t>的所有条款，如有偏离的条款，均已在下方列出。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68" w:type="dxa"/>
          </w:tcPr>
          <w:p>
            <w:pPr>
              <w:wordWrap w:val="0"/>
              <w:topLinePunct/>
              <w:spacing w:line="360" w:lineRule="exact"/>
              <w:jc w:val="center"/>
              <w:rPr>
                <w:rFonts w:cs="宋体"/>
                <w:b/>
                <w:bCs/>
                <w:color w:val="auto"/>
                <w:sz w:val="21"/>
                <w:highlight w:val="none"/>
              </w:rPr>
            </w:pPr>
          </w:p>
        </w:tc>
        <w:tc>
          <w:tcPr>
            <w:tcW w:w="4239" w:type="dxa"/>
          </w:tcPr>
          <w:p>
            <w:pPr>
              <w:wordWrap w:val="0"/>
              <w:topLinePunct/>
              <w:spacing w:line="360" w:lineRule="exact"/>
              <w:jc w:val="center"/>
              <w:rPr>
                <w:rFonts w:cs="宋体"/>
                <w:b/>
                <w:bCs/>
                <w:color w:val="auto"/>
                <w:sz w:val="21"/>
                <w:highlight w:val="none"/>
              </w:rPr>
            </w:pPr>
          </w:p>
        </w:tc>
        <w:tc>
          <w:tcPr>
            <w:tcW w:w="3588" w:type="dxa"/>
          </w:tcPr>
          <w:p>
            <w:pPr>
              <w:wordWrap w:val="0"/>
              <w:topLinePunct/>
              <w:spacing w:line="360" w:lineRule="exact"/>
              <w:jc w:val="center"/>
              <w:rPr>
                <w:rFonts w:cs="宋体"/>
                <w:b/>
                <w:bCs/>
                <w:color w:val="auto"/>
                <w:sz w:val="21"/>
                <w:highlight w:val="none"/>
              </w:rPr>
            </w:pPr>
          </w:p>
        </w:tc>
        <w:tc>
          <w:tcPr>
            <w:tcW w:w="1174"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68" w:type="dxa"/>
          </w:tcPr>
          <w:p>
            <w:pPr>
              <w:wordWrap w:val="0"/>
              <w:topLinePunct/>
              <w:spacing w:line="360" w:lineRule="exact"/>
              <w:jc w:val="center"/>
              <w:rPr>
                <w:rFonts w:cs="宋体"/>
                <w:b/>
                <w:bCs/>
                <w:color w:val="auto"/>
                <w:sz w:val="21"/>
                <w:highlight w:val="none"/>
              </w:rPr>
            </w:pPr>
          </w:p>
        </w:tc>
        <w:tc>
          <w:tcPr>
            <w:tcW w:w="4239" w:type="dxa"/>
          </w:tcPr>
          <w:p>
            <w:pPr>
              <w:wordWrap w:val="0"/>
              <w:topLinePunct/>
              <w:spacing w:line="360" w:lineRule="exact"/>
              <w:jc w:val="center"/>
              <w:rPr>
                <w:rFonts w:cs="宋体"/>
                <w:b/>
                <w:bCs/>
                <w:color w:val="auto"/>
                <w:sz w:val="21"/>
                <w:highlight w:val="none"/>
              </w:rPr>
            </w:pPr>
          </w:p>
        </w:tc>
        <w:tc>
          <w:tcPr>
            <w:tcW w:w="3588" w:type="dxa"/>
          </w:tcPr>
          <w:p>
            <w:pPr>
              <w:wordWrap w:val="0"/>
              <w:topLinePunct/>
              <w:spacing w:line="360" w:lineRule="exact"/>
              <w:jc w:val="center"/>
              <w:rPr>
                <w:rFonts w:cs="宋体"/>
                <w:b/>
                <w:bCs/>
                <w:color w:val="auto"/>
                <w:sz w:val="21"/>
                <w:highlight w:val="none"/>
              </w:rPr>
            </w:pPr>
          </w:p>
        </w:tc>
        <w:tc>
          <w:tcPr>
            <w:tcW w:w="1174" w:type="dxa"/>
          </w:tcPr>
          <w:p>
            <w:pPr>
              <w:wordWrap w:val="0"/>
              <w:topLinePunct/>
              <w:spacing w:line="360" w:lineRule="exact"/>
              <w:jc w:val="center"/>
              <w:rPr>
                <w:rFonts w:cs="宋体"/>
                <w:b/>
                <w:bCs/>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68" w:type="dxa"/>
          </w:tcPr>
          <w:p>
            <w:pPr>
              <w:wordWrap w:val="0"/>
              <w:topLinePunct/>
              <w:spacing w:line="360" w:lineRule="exact"/>
              <w:jc w:val="center"/>
              <w:rPr>
                <w:rFonts w:cs="宋体"/>
                <w:b/>
                <w:bCs/>
                <w:color w:val="auto"/>
                <w:sz w:val="21"/>
                <w:highlight w:val="none"/>
              </w:rPr>
            </w:pPr>
          </w:p>
        </w:tc>
        <w:tc>
          <w:tcPr>
            <w:tcW w:w="4239" w:type="dxa"/>
          </w:tcPr>
          <w:p>
            <w:pPr>
              <w:wordWrap w:val="0"/>
              <w:topLinePunct/>
              <w:spacing w:line="360" w:lineRule="exact"/>
              <w:jc w:val="center"/>
              <w:rPr>
                <w:rFonts w:cs="宋体"/>
                <w:b/>
                <w:bCs/>
                <w:color w:val="auto"/>
                <w:sz w:val="21"/>
                <w:highlight w:val="none"/>
              </w:rPr>
            </w:pPr>
          </w:p>
        </w:tc>
        <w:tc>
          <w:tcPr>
            <w:tcW w:w="3588" w:type="dxa"/>
          </w:tcPr>
          <w:p>
            <w:pPr>
              <w:wordWrap w:val="0"/>
              <w:topLinePunct/>
              <w:spacing w:line="360" w:lineRule="exact"/>
              <w:jc w:val="center"/>
              <w:rPr>
                <w:rFonts w:cs="宋体"/>
                <w:b/>
                <w:bCs/>
                <w:color w:val="auto"/>
                <w:sz w:val="21"/>
                <w:highlight w:val="none"/>
              </w:rPr>
            </w:pPr>
          </w:p>
        </w:tc>
        <w:tc>
          <w:tcPr>
            <w:tcW w:w="1174" w:type="dxa"/>
          </w:tcPr>
          <w:p>
            <w:pPr>
              <w:wordWrap w:val="0"/>
              <w:topLinePunct/>
              <w:spacing w:line="360" w:lineRule="exact"/>
              <w:jc w:val="center"/>
              <w:rPr>
                <w:rFonts w:cs="宋体"/>
                <w:b/>
                <w:bCs/>
                <w:color w:val="auto"/>
                <w:sz w:val="21"/>
                <w:highlight w:val="none"/>
              </w:rPr>
            </w:pPr>
          </w:p>
        </w:tc>
      </w:tr>
    </w:tbl>
    <w:p>
      <w:pPr>
        <w:pStyle w:val="49"/>
        <w:keepNext w:val="0"/>
        <w:keepLines w:val="0"/>
        <w:pageBreakBefore w:val="0"/>
        <w:widowControl w:val="0"/>
        <w:kinsoku/>
        <w:wordWrap w:val="0"/>
        <w:overflowPunct/>
        <w:topLinePunct/>
        <w:autoSpaceDE/>
        <w:autoSpaceDN/>
        <w:bidi w:val="0"/>
        <w:adjustRightInd w:val="0"/>
        <w:snapToGrid w:val="0"/>
        <w:spacing w:line="520" w:lineRule="exact"/>
        <w:ind w:firstLine="482"/>
        <w:textAlignment w:val="auto"/>
        <w:rPr>
          <w:rFonts w:cs="宋体"/>
          <w:b w:val="0"/>
          <w:bCs/>
          <w:color w:val="auto"/>
          <w:spacing w:val="0"/>
          <w:w w:val="100"/>
          <w:highlight w:val="none"/>
        </w:rPr>
      </w:pPr>
      <w:r>
        <w:rPr>
          <w:rFonts w:hint="eastAsia" w:cs="宋体"/>
          <w:color w:val="auto"/>
          <w:spacing w:val="0"/>
          <w:w w:val="100"/>
          <w:highlight w:val="none"/>
        </w:rPr>
        <w:t>注：</w:t>
      </w:r>
      <w:r>
        <w:rPr>
          <w:rFonts w:hint="eastAsia" w:cs="宋体"/>
          <w:b w:val="0"/>
          <w:bCs/>
          <w:color w:val="auto"/>
          <w:spacing w:val="0"/>
          <w:w w:val="100"/>
          <w:highlight w:val="none"/>
        </w:rPr>
        <w:t>①如与</w:t>
      </w:r>
      <w:r>
        <w:rPr>
          <w:rFonts w:hint="eastAsia" w:cs="宋体"/>
          <w:b w:val="0"/>
          <w:bCs/>
          <w:color w:val="auto"/>
          <w:spacing w:val="0"/>
          <w:w w:val="100"/>
          <w:highlight w:val="none"/>
          <w:lang w:val="en-US" w:eastAsia="zh-CN"/>
        </w:rPr>
        <w:t>招标</w:t>
      </w:r>
      <w:r>
        <w:rPr>
          <w:rFonts w:hint="eastAsia" w:cs="宋体"/>
          <w:b w:val="0"/>
          <w:bCs/>
          <w:color w:val="auto"/>
          <w:spacing w:val="0"/>
          <w:w w:val="100"/>
          <w:highlight w:val="none"/>
        </w:rPr>
        <w:t>文件第六章的</w:t>
      </w:r>
      <w:r>
        <w:rPr>
          <w:rFonts w:hint="eastAsia" w:cs="宋体"/>
          <w:b w:val="0"/>
          <w:bCs/>
          <w:color w:val="auto"/>
          <w:spacing w:val="0"/>
          <w:w w:val="100"/>
          <w:highlight w:val="none"/>
          <w:lang w:val="en-US" w:eastAsia="zh-CN"/>
        </w:rPr>
        <w:t>技术参数及配置要求所有</w:t>
      </w:r>
      <w:r>
        <w:rPr>
          <w:rFonts w:hint="eastAsia" w:cs="宋体"/>
          <w:b w:val="0"/>
          <w:bCs/>
          <w:color w:val="auto"/>
          <w:spacing w:val="0"/>
          <w:w w:val="100"/>
          <w:highlight w:val="none"/>
        </w:rPr>
        <w:t>条款有偏离(包括正偏离和负偏离)，</w:t>
      </w:r>
      <w:r>
        <w:rPr>
          <w:rFonts w:hint="eastAsia" w:cs="宋体"/>
          <w:color w:val="auto"/>
          <w:spacing w:val="0"/>
          <w:w w:val="100"/>
          <w:highlight w:val="none"/>
        </w:rPr>
        <w:t>请将偏离条款逐条应答</w:t>
      </w:r>
      <w:r>
        <w:rPr>
          <w:rFonts w:hint="eastAsia" w:cs="宋体"/>
          <w:b w:val="0"/>
          <w:bCs/>
          <w:color w:val="auto"/>
          <w:spacing w:val="0"/>
          <w:w w:val="100"/>
          <w:highlight w:val="none"/>
        </w:rPr>
        <w:t>，未在此表中进行应答或未明确偏离的条款视为默认完全响应和接受，供应商不得以未作应答而拒不接受</w:t>
      </w:r>
      <w:r>
        <w:rPr>
          <w:rFonts w:hint="eastAsia"/>
          <w:color w:val="auto"/>
          <w:spacing w:val="0"/>
          <w:w w:val="100"/>
          <w:highlight w:val="none"/>
        </w:rPr>
        <w:t>(要求提供承诺函或证明材料的条款，以供应商提供的承诺函内容或证明材料为准)</w:t>
      </w:r>
      <w:r>
        <w:rPr>
          <w:rFonts w:hint="eastAsia" w:cs="宋体"/>
          <w:b w:val="0"/>
          <w:bCs/>
          <w:color w:val="auto"/>
          <w:spacing w:val="0"/>
          <w:w w:val="100"/>
          <w:highlight w:val="none"/>
        </w:rPr>
        <w:t>。</w:t>
      </w:r>
    </w:p>
    <w:p>
      <w:pPr>
        <w:pStyle w:val="49"/>
        <w:keepNext w:val="0"/>
        <w:keepLines w:val="0"/>
        <w:pageBreakBefore w:val="0"/>
        <w:widowControl w:val="0"/>
        <w:kinsoku/>
        <w:wordWrap w:val="0"/>
        <w:overflowPunct/>
        <w:topLinePunct/>
        <w:autoSpaceDE/>
        <w:autoSpaceDN/>
        <w:bidi w:val="0"/>
        <w:adjustRightInd w:val="0"/>
        <w:snapToGrid w:val="0"/>
        <w:spacing w:line="520" w:lineRule="exact"/>
        <w:textAlignment w:val="auto"/>
        <w:rPr>
          <w:rFonts w:cs="宋体"/>
          <w:b w:val="0"/>
          <w:bCs/>
          <w:color w:val="auto"/>
          <w:spacing w:val="0"/>
          <w:w w:val="100"/>
          <w:highlight w:val="none"/>
        </w:rPr>
      </w:pPr>
      <w:r>
        <w:rPr>
          <w:rFonts w:hint="eastAsia" w:cs="宋体"/>
          <w:b w:val="0"/>
          <w:bCs/>
          <w:color w:val="auto"/>
          <w:spacing w:val="0"/>
          <w:w w:val="100"/>
          <w:highlight w:val="none"/>
        </w:rPr>
        <w:t>②供应商必须据实填写有偏离的条款，不得虚假应答，否则将取消其</w:t>
      </w:r>
      <w:r>
        <w:rPr>
          <w:rFonts w:hint="eastAsia" w:cs="宋体"/>
          <w:b w:val="0"/>
          <w:bCs/>
          <w:color w:val="auto"/>
          <w:spacing w:val="0"/>
          <w:w w:val="100"/>
          <w:highlight w:val="none"/>
          <w:lang w:val="en-US" w:eastAsia="zh-CN"/>
        </w:rPr>
        <w:t>中标</w:t>
      </w:r>
      <w:r>
        <w:rPr>
          <w:rFonts w:hint="eastAsia" w:cs="宋体"/>
          <w:b w:val="0"/>
          <w:bCs/>
          <w:color w:val="auto"/>
          <w:spacing w:val="0"/>
          <w:w w:val="100"/>
          <w:highlight w:val="none"/>
        </w:rPr>
        <w:t>资格。</w:t>
      </w:r>
    </w:p>
    <w:p>
      <w:pPr>
        <w:pStyle w:val="49"/>
        <w:keepNext w:val="0"/>
        <w:keepLines w:val="0"/>
        <w:pageBreakBefore w:val="0"/>
        <w:widowControl w:val="0"/>
        <w:kinsoku/>
        <w:wordWrap w:val="0"/>
        <w:overflowPunct/>
        <w:topLinePunct/>
        <w:autoSpaceDE/>
        <w:autoSpaceDN/>
        <w:bidi w:val="0"/>
        <w:adjustRightInd w:val="0"/>
        <w:snapToGrid w:val="0"/>
        <w:spacing w:line="520" w:lineRule="exact"/>
        <w:textAlignment w:val="auto"/>
        <w:rPr>
          <w:color w:val="auto"/>
          <w:highlight w:val="none"/>
        </w:rPr>
      </w:pPr>
      <w:r>
        <w:rPr>
          <w:rFonts w:hint="eastAsia" w:cs="宋体"/>
          <w:b w:val="0"/>
          <w:bCs/>
          <w:color w:val="auto"/>
          <w:spacing w:val="0"/>
          <w:w w:val="100"/>
          <w:highlight w:val="none"/>
        </w:rPr>
        <w:t>③评审时如对供应商</w:t>
      </w:r>
      <w:r>
        <w:rPr>
          <w:rFonts w:hint="eastAsia" w:cs="宋体"/>
          <w:b w:val="0"/>
          <w:bCs/>
          <w:color w:val="auto"/>
          <w:spacing w:val="0"/>
          <w:w w:val="100"/>
          <w:highlight w:val="none"/>
          <w:lang w:val="en-US" w:eastAsia="zh-CN"/>
        </w:rPr>
        <w:t>投标</w:t>
      </w:r>
      <w:r>
        <w:rPr>
          <w:rFonts w:hint="eastAsia" w:cs="宋体"/>
          <w:b w:val="0"/>
          <w:bCs/>
          <w:color w:val="auto"/>
          <w:spacing w:val="0"/>
          <w:w w:val="100"/>
          <w:highlight w:val="none"/>
        </w:rPr>
        <w:t>文件中商务应答的内容存在歧义的，可要求供应商进行澄清。</w:t>
      </w:r>
    </w:p>
    <w:p>
      <w:pPr>
        <w:pStyle w:val="49"/>
        <w:ind w:firstLine="482"/>
        <w:rPr>
          <w:color w:val="auto"/>
          <w:highlight w:val="none"/>
        </w:rPr>
      </w:pPr>
    </w:p>
    <w:p>
      <w:pPr>
        <w:pStyle w:val="44"/>
        <w:rPr>
          <w:color w:val="auto"/>
          <w:highlight w:val="none"/>
        </w:rPr>
      </w:pPr>
    </w:p>
    <w:p>
      <w:pPr>
        <w:pStyle w:val="44"/>
        <w:rPr>
          <w:color w:val="auto"/>
          <w:highlight w:val="none"/>
        </w:rPr>
      </w:pPr>
    </w:p>
    <w:p>
      <w:pPr>
        <w:pStyle w:val="44"/>
        <w:rPr>
          <w:color w:val="auto"/>
          <w:highlight w:val="none"/>
        </w:rPr>
      </w:pPr>
    </w:p>
    <w:p>
      <w:pPr>
        <w:pStyle w:val="48"/>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(盖章)</w:t>
      </w:r>
    </w:p>
    <w:p>
      <w:pPr>
        <w:pStyle w:val="48"/>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pStyle w:val="48"/>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p>
    <w:p>
      <w:pPr>
        <w:pStyle w:val="44"/>
        <w:rPr>
          <w:color w:val="auto"/>
          <w:highlight w:val="none"/>
        </w:rPr>
      </w:pPr>
      <w:r>
        <w:rPr>
          <w:rFonts w:hint="eastAsia"/>
          <w:color w:val="auto"/>
          <w:highlight w:val="none"/>
        </w:rPr>
        <w:br w:type="page"/>
      </w:r>
    </w:p>
    <w:bookmarkEnd w:id="997"/>
    <w:bookmarkEnd w:id="998"/>
    <w:p>
      <w:pPr>
        <w:pStyle w:val="46"/>
        <w:numPr>
          <w:ilvl w:val="0"/>
          <w:numId w:val="26"/>
        </w:numPr>
        <w:spacing w:before="120" w:after="120"/>
        <w:ind w:firstLine="0"/>
        <w:rPr>
          <w:color w:val="auto"/>
          <w:highlight w:val="none"/>
        </w:rPr>
      </w:pPr>
      <w:bookmarkStart w:id="999" w:name="_Toc3909"/>
      <w:bookmarkStart w:id="1000" w:name="_Toc32017"/>
      <w:bookmarkStart w:id="1001" w:name="_Toc28539"/>
      <w:r>
        <w:rPr>
          <w:rFonts w:hint="eastAsia"/>
          <w:color w:val="auto"/>
          <w:highlight w:val="none"/>
        </w:rPr>
        <w:t>履约能力及相关证明</w:t>
      </w:r>
      <w:bookmarkEnd w:id="999"/>
      <w:bookmarkEnd w:id="1000"/>
      <w:bookmarkEnd w:id="1001"/>
    </w:p>
    <w:p>
      <w:pPr>
        <w:pStyle w:val="49"/>
        <w:ind w:firstLine="482"/>
        <w:rPr>
          <w:color w:val="auto"/>
          <w:highlight w:val="none"/>
        </w:rPr>
      </w:pPr>
      <w:r>
        <w:rPr>
          <w:rFonts w:hint="eastAsia"/>
          <w:color w:val="auto"/>
          <w:highlight w:val="none"/>
        </w:rPr>
        <w:t>注：格式自拟。</w:t>
      </w:r>
    </w:p>
    <w:p>
      <w:pPr>
        <w:pStyle w:val="44"/>
        <w:rPr>
          <w:color w:val="auto"/>
          <w:highlight w:val="none"/>
        </w:rPr>
      </w:pPr>
    </w:p>
    <w:p>
      <w:pPr>
        <w:pStyle w:val="44"/>
        <w:rPr>
          <w:color w:val="auto"/>
          <w:highlight w:val="none"/>
        </w:rPr>
      </w:pPr>
    </w:p>
    <w:p>
      <w:pPr>
        <w:pStyle w:val="44"/>
        <w:rPr>
          <w:color w:val="auto"/>
          <w:highlight w:val="none"/>
        </w:rPr>
      </w:pPr>
    </w:p>
    <w:p>
      <w:pPr>
        <w:pStyle w:val="44"/>
        <w:rPr>
          <w:color w:val="auto"/>
          <w:highlight w:val="none"/>
        </w:rPr>
      </w:pPr>
    </w:p>
    <w:p>
      <w:pPr>
        <w:pStyle w:val="44"/>
        <w:rPr>
          <w:color w:val="auto"/>
          <w:highlight w:val="none"/>
        </w:rPr>
      </w:pPr>
    </w:p>
    <w:p>
      <w:pPr>
        <w:pStyle w:val="44"/>
        <w:rPr>
          <w:color w:val="auto"/>
          <w:highlight w:val="none"/>
        </w:rPr>
      </w:pPr>
      <w:r>
        <w:rPr>
          <w:rFonts w:hint="eastAsia"/>
          <w:color w:val="auto"/>
          <w:highlight w:val="none"/>
        </w:rPr>
        <w:br w:type="page"/>
      </w:r>
    </w:p>
    <w:bookmarkEnd w:id="991"/>
    <w:p>
      <w:pPr>
        <w:pStyle w:val="46"/>
        <w:numPr>
          <w:ilvl w:val="0"/>
          <w:numId w:val="26"/>
        </w:numPr>
        <w:spacing w:before="120" w:after="120"/>
        <w:ind w:firstLine="0"/>
        <w:rPr>
          <w:color w:val="auto"/>
          <w:highlight w:val="none"/>
        </w:rPr>
      </w:pPr>
      <w:bookmarkStart w:id="1002" w:name="_Toc19963"/>
      <w:bookmarkStart w:id="1003" w:name="_Toc13361"/>
      <w:bookmarkStart w:id="1004" w:name="_Toc14204"/>
      <w:bookmarkStart w:id="1005" w:name="_Toc19240"/>
      <w:r>
        <w:rPr>
          <w:rFonts w:hint="eastAsia"/>
          <w:color w:val="auto"/>
          <w:highlight w:val="none"/>
        </w:rPr>
        <w:t>投标人针对本项目人员配置情况表</w:t>
      </w:r>
      <w:bookmarkEnd w:id="1002"/>
      <w:bookmarkEnd w:id="1003"/>
      <w:bookmarkEnd w:id="1004"/>
    </w:p>
    <w:p>
      <w:pPr>
        <w:pStyle w:val="44"/>
        <w:rPr>
          <w:color w:val="auto"/>
          <w:highlight w:val="none"/>
        </w:rPr>
      </w:pPr>
      <w:r>
        <w:rPr>
          <w:rFonts w:hint="eastAsia"/>
          <w:color w:val="auto"/>
          <w:highlight w:val="none"/>
        </w:rPr>
        <w:t>项目名称：</w:t>
      </w:r>
      <w:r>
        <w:rPr>
          <w:rFonts w:hint="eastAsia"/>
          <w:color w:val="auto"/>
          <w:highlight w:val="none"/>
          <w:u w:val="single"/>
        </w:rPr>
        <w:t xml:space="preserve">                              </w:t>
      </w:r>
    </w:p>
    <w:p>
      <w:pPr>
        <w:pStyle w:val="44"/>
        <w:rPr>
          <w:color w:val="auto"/>
          <w:highlight w:val="none"/>
          <w:u w:val="single"/>
        </w:rPr>
      </w:pPr>
      <w:r>
        <w:rPr>
          <w:rFonts w:hint="eastAsia"/>
          <w:color w:val="auto"/>
          <w:highlight w:val="none"/>
        </w:rPr>
        <w:t>项目编号：</w:t>
      </w:r>
      <w:r>
        <w:rPr>
          <w:rFonts w:hint="eastAsia"/>
          <w:color w:val="auto"/>
          <w:highlight w:val="none"/>
          <w:u w:val="single"/>
        </w:rPr>
        <w:t xml:space="preserve">                              </w:t>
      </w:r>
    </w:p>
    <w:tbl>
      <w:tblPr>
        <w:tblStyle w:val="23"/>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pStyle w:val="47"/>
              <w:rPr>
                <w:b/>
                <w:bCs/>
                <w:color w:val="auto"/>
                <w:highlight w:val="none"/>
              </w:rPr>
            </w:pPr>
            <w:r>
              <w:rPr>
                <w:rFonts w:hint="eastAsia"/>
                <w:b/>
                <w:bCs/>
                <w:color w:val="auto"/>
                <w:highlight w:val="none"/>
              </w:rPr>
              <w:t>类别</w:t>
            </w:r>
          </w:p>
        </w:tc>
        <w:tc>
          <w:tcPr>
            <w:tcW w:w="923" w:type="dxa"/>
            <w:vMerge w:val="restart"/>
            <w:vAlign w:val="center"/>
          </w:tcPr>
          <w:p>
            <w:pPr>
              <w:pStyle w:val="47"/>
              <w:rPr>
                <w:b/>
                <w:bCs/>
                <w:color w:val="auto"/>
                <w:highlight w:val="none"/>
              </w:rPr>
            </w:pPr>
            <w:r>
              <w:rPr>
                <w:rFonts w:hint="eastAsia"/>
                <w:b/>
                <w:bCs/>
                <w:color w:val="auto"/>
                <w:highlight w:val="none"/>
              </w:rPr>
              <w:t>职务(岗位)</w:t>
            </w:r>
          </w:p>
        </w:tc>
        <w:tc>
          <w:tcPr>
            <w:tcW w:w="921" w:type="dxa"/>
            <w:vMerge w:val="restart"/>
            <w:vAlign w:val="center"/>
          </w:tcPr>
          <w:p>
            <w:pPr>
              <w:pStyle w:val="47"/>
              <w:rPr>
                <w:b/>
                <w:bCs/>
                <w:color w:val="auto"/>
                <w:highlight w:val="none"/>
              </w:rPr>
            </w:pPr>
            <w:r>
              <w:rPr>
                <w:rFonts w:hint="eastAsia"/>
                <w:b/>
                <w:bCs/>
                <w:color w:val="auto"/>
                <w:highlight w:val="none"/>
              </w:rPr>
              <w:t>姓名</w:t>
            </w:r>
          </w:p>
        </w:tc>
        <w:tc>
          <w:tcPr>
            <w:tcW w:w="923" w:type="dxa"/>
            <w:vMerge w:val="restart"/>
            <w:vAlign w:val="center"/>
          </w:tcPr>
          <w:p>
            <w:pPr>
              <w:pStyle w:val="47"/>
              <w:rPr>
                <w:b/>
                <w:bCs/>
                <w:color w:val="auto"/>
                <w:highlight w:val="none"/>
              </w:rPr>
            </w:pPr>
            <w:r>
              <w:rPr>
                <w:rFonts w:hint="eastAsia"/>
                <w:b/>
                <w:bCs/>
                <w:color w:val="auto"/>
                <w:highlight w:val="none"/>
              </w:rPr>
              <w:t>职称</w:t>
            </w:r>
          </w:p>
        </w:tc>
        <w:tc>
          <w:tcPr>
            <w:tcW w:w="922" w:type="dxa"/>
            <w:vMerge w:val="restart"/>
            <w:vAlign w:val="center"/>
          </w:tcPr>
          <w:p>
            <w:pPr>
              <w:pStyle w:val="47"/>
              <w:rPr>
                <w:b/>
                <w:bCs/>
                <w:color w:val="auto"/>
                <w:highlight w:val="none"/>
              </w:rPr>
            </w:pPr>
            <w:r>
              <w:rPr>
                <w:rFonts w:hint="eastAsia"/>
                <w:b/>
                <w:bCs/>
                <w:color w:val="auto"/>
                <w:highlight w:val="none"/>
              </w:rPr>
              <w:t>常住地</w:t>
            </w:r>
          </w:p>
        </w:tc>
        <w:tc>
          <w:tcPr>
            <w:tcW w:w="4919" w:type="dxa"/>
            <w:gridSpan w:val="4"/>
            <w:vAlign w:val="center"/>
          </w:tcPr>
          <w:p>
            <w:pPr>
              <w:pStyle w:val="47"/>
              <w:rPr>
                <w:b/>
                <w:bCs/>
                <w:color w:val="auto"/>
                <w:highlight w:val="none"/>
              </w:rPr>
            </w:pPr>
            <w:r>
              <w:rPr>
                <w:rFonts w:hint="eastAsia"/>
                <w:b/>
                <w:bCs/>
                <w:color w:val="auto"/>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pStyle w:val="47"/>
              <w:rPr>
                <w:b/>
                <w:bCs/>
                <w:color w:val="auto"/>
                <w:highlight w:val="none"/>
              </w:rPr>
            </w:pPr>
          </w:p>
        </w:tc>
        <w:tc>
          <w:tcPr>
            <w:tcW w:w="923" w:type="dxa"/>
            <w:vMerge w:val="continue"/>
            <w:vAlign w:val="center"/>
          </w:tcPr>
          <w:p>
            <w:pPr>
              <w:pStyle w:val="47"/>
              <w:rPr>
                <w:b/>
                <w:bCs/>
                <w:color w:val="auto"/>
                <w:highlight w:val="none"/>
              </w:rPr>
            </w:pPr>
          </w:p>
        </w:tc>
        <w:tc>
          <w:tcPr>
            <w:tcW w:w="921" w:type="dxa"/>
            <w:vMerge w:val="continue"/>
            <w:vAlign w:val="center"/>
          </w:tcPr>
          <w:p>
            <w:pPr>
              <w:pStyle w:val="47"/>
              <w:rPr>
                <w:b/>
                <w:bCs/>
                <w:color w:val="auto"/>
                <w:highlight w:val="none"/>
              </w:rPr>
            </w:pPr>
          </w:p>
        </w:tc>
        <w:tc>
          <w:tcPr>
            <w:tcW w:w="923" w:type="dxa"/>
            <w:vMerge w:val="continue"/>
            <w:vAlign w:val="center"/>
          </w:tcPr>
          <w:p>
            <w:pPr>
              <w:pStyle w:val="47"/>
              <w:rPr>
                <w:b/>
                <w:bCs/>
                <w:color w:val="auto"/>
                <w:highlight w:val="none"/>
              </w:rPr>
            </w:pPr>
          </w:p>
        </w:tc>
        <w:tc>
          <w:tcPr>
            <w:tcW w:w="922" w:type="dxa"/>
            <w:vMerge w:val="continue"/>
            <w:vAlign w:val="center"/>
          </w:tcPr>
          <w:p>
            <w:pPr>
              <w:pStyle w:val="47"/>
              <w:rPr>
                <w:b/>
                <w:bCs/>
                <w:color w:val="auto"/>
                <w:highlight w:val="none"/>
              </w:rPr>
            </w:pPr>
          </w:p>
        </w:tc>
        <w:tc>
          <w:tcPr>
            <w:tcW w:w="1436" w:type="dxa"/>
            <w:vAlign w:val="center"/>
          </w:tcPr>
          <w:p>
            <w:pPr>
              <w:pStyle w:val="47"/>
              <w:rPr>
                <w:b/>
                <w:bCs/>
                <w:color w:val="auto"/>
                <w:highlight w:val="none"/>
              </w:rPr>
            </w:pPr>
            <w:r>
              <w:rPr>
                <w:rFonts w:hint="eastAsia"/>
                <w:b/>
                <w:bCs/>
                <w:color w:val="auto"/>
                <w:highlight w:val="none"/>
              </w:rPr>
              <w:t>证书名称</w:t>
            </w:r>
          </w:p>
        </w:tc>
        <w:tc>
          <w:tcPr>
            <w:tcW w:w="1022" w:type="dxa"/>
            <w:vAlign w:val="center"/>
          </w:tcPr>
          <w:p>
            <w:pPr>
              <w:pStyle w:val="47"/>
              <w:rPr>
                <w:b/>
                <w:bCs/>
                <w:color w:val="auto"/>
                <w:highlight w:val="none"/>
              </w:rPr>
            </w:pPr>
            <w:r>
              <w:rPr>
                <w:rFonts w:hint="eastAsia"/>
                <w:b/>
                <w:bCs/>
                <w:color w:val="auto"/>
                <w:highlight w:val="none"/>
              </w:rPr>
              <w:t>级别</w:t>
            </w:r>
          </w:p>
        </w:tc>
        <w:tc>
          <w:tcPr>
            <w:tcW w:w="1232" w:type="dxa"/>
            <w:vAlign w:val="center"/>
          </w:tcPr>
          <w:p>
            <w:pPr>
              <w:pStyle w:val="47"/>
              <w:rPr>
                <w:b/>
                <w:bCs/>
                <w:color w:val="auto"/>
                <w:highlight w:val="none"/>
              </w:rPr>
            </w:pPr>
            <w:r>
              <w:rPr>
                <w:rFonts w:hint="eastAsia"/>
                <w:b/>
                <w:bCs/>
                <w:color w:val="auto"/>
                <w:highlight w:val="none"/>
              </w:rPr>
              <w:t>证号</w:t>
            </w:r>
          </w:p>
        </w:tc>
        <w:tc>
          <w:tcPr>
            <w:tcW w:w="1229" w:type="dxa"/>
            <w:vAlign w:val="center"/>
          </w:tcPr>
          <w:p>
            <w:pPr>
              <w:pStyle w:val="47"/>
              <w:rPr>
                <w:b/>
                <w:bCs/>
                <w:color w:val="auto"/>
                <w:highlight w:val="none"/>
              </w:rPr>
            </w:pPr>
            <w:r>
              <w:rPr>
                <w:rFonts w:hint="eastAsia"/>
                <w:b/>
                <w:bCs/>
                <w:color w:val="auto"/>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7"/>
              <w:rPr>
                <w:color w:val="auto"/>
                <w:highlight w:val="none"/>
              </w:rPr>
            </w:pPr>
          </w:p>
        </w:tc>
        <w:tc>
          <w:tcPr>
            <w:tcW w:w="923" w:type="dxa"/>
          </w:tcPr>
          <w:p>
            <w:pPr>
              <w:pStyle w:val="47"/>
              <w:rPr>
                <w:color w:val="auto"/>
                <w:highlight w:val="none"/>
              </w:rPr>
            </w:pPr>
          </w:p>
        </w:tc>
        <w:tc>
          <w:tcPr>
            <w:tcW w:w="921" w:type="dxa"/>
          </w:tcPr>
          <w:p>
            <w:pPr>
              <w:pStyle w:val="47"/>
              <w:rPr>
                <w:color w:val="auto"/>
                <w:highlight w:val="none"/>
              </w:rPr>
            </w:pPr>
          </w:p>
        </w:tc>
        <w:tc>
          <w:tcPr>
            <w:tcW w:w="923" w:type="dxa"/>
          </w:tcPr>
          <w:p>
            <w:pPr>
              <w:pStyle w:val="47"/>
              <w:rPr>
                <w:color w:val="auto"/>
                <w:highlight w:val="none"/>
              </w:rPr>
            </w:pPr>
          </w:p>
        </w:tc>
        <w:tc>
          <w:tcPr>
            <w:tcW w:w="922" w:type="dxa"/>
          </w:tcPr>
          <w:p>
            <w:pPr>
              <w:pStyle w:val="47"/>
              <w:rPr>
                <w:color w:val="auto"/>
                <w:highlight w:val="none"/>
              </w:rPr>
            </w:pPr>
          </w:p>
        </w:tc>
        <w:tc>
          <w:tcPr>
            <w:tcW w:w="1436" w:type="dxa"/>
          </w:tcPr>
          <w:p>
            <w:pPr>
              <w:pStyle w:val="47"/>
              <w:rPr>
                <w:color w:val="auto"/>
                <w:highlight w:val="none"/>
              </w:rPr>
            </w:pPr>
          </w:p>
        </w:tc>
        <w:tc>
          <w:tcPr>
            <w:tcW w:w="1022" w:type="dxa"/>
          </w:tcPr>
          <w:p>
            <w:pPr>
              <w:pStyle w:val="47"/>
              <w:rPr>
                <w:color w:val="auto"/>
                <w:highlight w:val="none"/>
              </w:rPr>
            </w:pPr>
          </w:p>
        </w:tc>
        <w:tc>
          <w:tcPr>
            <w:tcW w:w="1232" w:type="dxa"/>
          </w:tcPr>
          <w:p>
            <w:pPr>
              <w:pStyle w:val="47"/>
              <w:rPr>
                <w:color w:val="auto"/>
                <w:highlight w:val="none"/>
              </w:rPr>
            </w:pPr>
          </w:p>
        </w:tc>
        <w:tc>
          <w:tcPr>
            <w:tcW w:w="1229" w:type="dxa"/>
          </w:tcPr>
          <w:p>
            <w:pPr>
              <w:pStyle w:val="47"/>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7"/>
              <w:rPr>
                <w:color w:val="auto"/>
                <w:highlight w:val="none"/>
              </w:rPr>
            </w:pPr>
          </w:p>
        </w:tc>
        <w:tc>
          <w:tcPr>
            <w:tcW w:w="923" w:type="dxa"/>
          </w:tcPr>
          <w:p>
            <w:pPr>
              <w:pStyle w:val="47"/>
              <w:rPr>
                <w:color w:val="auto"/>
                <w:highlight w:val="none"/>
              </w:rPr>
            </w:pPr>
          </w:p>
        </w:tc>
        <w:tc>
          <w:tcPr>
            <w:tcW w:w="921" w:type="dxa"/>
          </w:tcPr>
          <w:p>
            <w:pPr>
              <w:pStyle w:val="47"/>
              <w:rPr>
                <w:color w:val="auto"/>
                <w:highlight w:val="none"/>
              </w:rPr>
            </w:pPr>
          </w:p>
        </w:tc>
        <w:tc>
          <w:tcPr>
            <w:tcW w:w="923" w:type="dxa"/>
          </w:tcPr>
          <w:p>
            <w:pPr>
              <w:pStyle w:val="47"/>
              <w:rPr>
                <w:color w:val="auto"/>
                <w:highlight w:val="none"/>
              </w:rPr>
            </w:pPr>
          </w:p>
        </w:tc>
        <w:tc>
          <w:tcPr>
            <w:tcW w:w="922" w:type="dxa"/>
          </w:tcPr>
          <w:p>
            <w:pPr>
              <w:pStyle w:val="47"/>
              <w:rPr>
                <w:color w:val="auto"/>
                <w:highlight w:val="none"/>
              </w:rPr>
            </w:pPr>
          </w:p>
        </w:tc>
        <w:tc>
          <w:tcPr>
            <w:tcW w:w="1436" w:type="dxa"/>
          </w:tcPr>
          <w:p>
            <w:pPr>
              <w:pStyle w:val="47"/>
              <w:rPr>
                <w:color w:val="auto"/>
                <w:highlight w:val="none"/>
              </w:rPr>
            </w:pPr>
          </w:p>
        </w:tc>
        <w:tc>
          <w:tcPr>
            <w:tcW w:w="1022" w:type="dxa"/>
          </w:tcPr>
          <w:p>
            <w:pPr>
              <w:pStyle w:val="47"/>
              <w:rPr>
                <w:color w:val="auto"/>
                <w:highlight w:val="none"/>
              </w:rPr>
            </w:pPr>
          </w:p>
        </w:tc>
        <w:tc>
          <w:tcPr>
            <w:tcW w:w="1232" w:type="dxa"/>
          </w:tcPr>
          <w:p>
            <w:pPr>
              <w:pStyle w:val="47"/>
              <w:rPr>
                <w:color w:val="auto"/>
                <w:highlight w:val="none"/>
              </w:rPr>
            </w:pPr>
          </w:p>
        </w:tc>
        <w:tc>
          <w:tcPr>
            <w:tcW w:w="1229" w:type="dxa"/>
          </w:tcPr>
          <w:p>
            <w:pPr>
              <w:pStyle w:val="47"/>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7"/>
              <w:rPr>
                <w:color w:val="auto"/>
                <w:highlight w:val="none"/>
              </w:rPr>
            </w:pPr>
          </w:p>
        </w:tc>
        <w:tc>
          <w:tcPr>
            <w:tcW w:w="923" w:type="dxa"/>
          </w:tcPr>
          <w:p>
            <w:pPr>
              <w:pStyle w:val="47"/>
              <w:rPr>
                <w:color w:val="auto"/>
                <w:highlight w:val="none"/>
              </w:rPr>
            </w:pPr>
          </w:p>
        </w:tc>
        <w:tc>
          <w:tcPr>
            <w:tcW w:w="921" w:type="dxa"/>
          </w:tcPr>
          <w:p>
            <w:pPr>
              <w:pStyle w:val="47"/>
              <w:rPr>
                <w:color w:val="auto"/>
                <w:highlight w:val="none"/>
              </w:rPr>
            </w:pPr>
          </w:p>
        </w:tc>
        <w:tc>
          <w:tcPr>
            <w:tcW w:w="923" w:type="dxa"/>
          </w:tcPr>
          <w:p>
            <w:pPr>
              <w:pStyle w:val="47"/>
              <w:rPr>
                <w:color w:val="auto"/>
                <w:highlight w:val="none"/>
              </w:rPr>
            </w:pPr>
          </w:p>
        </w:tc>
        <w:tc>
          <w:tcPr>
            <w:tcW w:w="922" w:type="dxa"/>
          </w:tcPr>
          <w:p>
            <w:pPr>
              <w:pStyle w:val="47"/>
              <w:rPr>
                <w:color w:val="auto"/>
                <w:highlight w:val="none"/>
              </w:rPr>
            </w:pPr>
          </w:p>
        </w:tc>
        <w:tc>
          <w:tcPr>
            <w:tcW w:w="1436" w:type="dxa"/>
          </w:tcPr>
          <w:p>
            <w:pPr>
              <w:pStyle w:val="47"/>
              <w:rPr>
                <w:color w:val="auto"/>
                <w:highlight w:val="none"/>
              </w:rPr>
            </w:pPr>
          </w:p>
        </w:tc>
        <w:tc>
          <w:tcPr>
            <w:tcW w:w="1022" w:type="dxa"/>
          </w:tcPr>
          <w:p>
            <w:pPr>
              <w:pStyle w:val="47"/>
              <w:rPr>
                <w:color w:val="auto"/>
                <w:highlight w:val="none"/>
              </w:rPr>
            </w:pPr>
          </w:p>
        </w:tc>
        <w:tc>
          <w:tcPr>
            <w:tcW w:w="1232" w:type="dxa"/>
          </w:tcPr>
          <w:p>
            <w:pPr>
              <w:pStyle w:val="47"/>
              <w:rPr>
                <w:color w:val="auto"/>
                <w:highlight w:val="none"/>
              </w:rPr>
            </w:pPr>
          </w:p>
        </w:tc>
        <w:tc>
          <w:tcPr>
            <w:tcW w:w="1229" w:type="dxa"/>
          </w:tcPr>
          <w:p>
            <w:pPr>
              <w:pStyle w:val="47"/>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7"/>
              <w:rPr>
                <w:color w:val="auto"/>
                <w:highlight w:val="none"/>
              </w:rPr>
            </w:pPr>
          </w:p>
        </w:tc>
        <w:tc>
          <w:tcPr>
            <w:tcW w:w="923" w:type="dxa"/>
          </w:tcPr>
          <w:p>
            <w:pPr>
              <w:pStyle w:val="47"/>
              <w:rPr>
                <w:color w:val="auto"/>
                <w:highlight w:val="none"/>
              </w:rPr>
            </w:pPr>
          </w:p>
        </w:tc>
        <w:tc>
          <w:tcPr>
            <w:tcW w:w="921" w:type="dxa"/>
          </w:tcPr>
          <w:p>
            <w:pPr>
              <w:pStyle w:val="47"/>
              <w:rPr>
                <w:color w:val="auto"/>
                <w:highlight w:val="none"/>
              </w:rPr>
            </w:pPr>
          </w:p>
        </w:tc>
        <w:tc>
          <w:tcPr>
            <w:tcW w:w="923" w:type="dxa"/>
          </w:tcPr>
          <w:p>
            <w:pPr>
              <w:pStyle w:val="47"/>
              <w:rPr>
                <w:color w:val="auto"/>
                <w:highlight w:val="none"/>
              </w:rPr>
            </w:pPr>
          </w:p>
        </w:tc>
        <w:tc>
          <w:tcPr>
            <w:tcW w:w="922" w:type="dxa"/>
          </w:tcPr>
          <w:p>
            <w:pPr>
              <w:pStyle w:val="47"/>
              <w:rPr>
                <w:color w:val="auto"/>
                <w:highlight w:val="none"/>
              </w:rPr>
            </w:pPr>
          </w:p>
        </w:tc>
        <w:tc>
          <w:tcPr>
            <w:tcW w:w="1436" w:type="dxa"/>
          </w:tcPr>
          <w:p>
            <w:pPr>
              <w:pStyle w:val="47"/>
              <w:rPr>
                <w:color w:val="auto"/>
                <w:highlight w:val="none"/>
              </w:rPr>
            </w:pPr>
          </w:p>
        </w:tc>
        <w:tc>
          <w:tcPr>
            <w:tcW w:w="1022" w:type="dxa"/>
          </w:tcPr>
          <w:p>
            <w:pPr>
              <w:pStyle w:val="47"/>
              <w:rPr>
                <w:color w:val="auto"/>
                <w:highlight w:val="none"/>
              </w:rPr>
            </w:pPr>
          </w:p>
        </w:tc>
        <w:tc>
          <w:tcPr>
            <w:tcW w:w="1232" w:type="dxa"/>
          </w:tcPr>
          <w:p>
            <w:pPr>
              <w:pStyle w:val="47"/>
              <w:rPr>
                <w:color w:val="auto"/>
                <w:highlight w:val="none"/>
              </w:rPr>
            </w:pPr>
          </w:p>
        </w:tc>
        <w:tc>
          <w:tcPr>
            <w:tcW w:w="1229" w:type="dxa"/>
          </w:tcPr>
          <w:p>
            <w:pPr>
              <w:pStyle w:val="47"/>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7"/>
              <w:rPr>
                <w:color w:val="auto"/>
                <w:highlight w:val="none"/>
              </w:rPr>
            </w:pPr>
          </w:p>
        </w:tc>
        <w:tc>
          <w:tcPr>
            <w:tcW w:w="923" w:type="dxa"/>
          </w:tcPr>
          <w:p>
            <w:pPr>
              <w:pStyle w:val="47"/>
              <w:rPr>
                <w:color w:val="auto"/>
                <w:highlight w:val="none"/>
              </w:rPr>
            </w:pPr>
          </w:p>
        </w:tc>
        <w:tc>
          <w:tcPr>
            <w:tcW w:w="921" w:type="dxa"/>
          </w:tcPr>
          <w:p>
            <w:pPr>
              <w:pStyle w:val="47"/>
              <w:rPr>
                <w:color w:val="auto"/>
                <w:highlight w:val="none"/>
              </w:rPr>
            </w:pPr>
          </w:p>
        </w:tc>
        <w:tc>
          <w:tcPr>
            <w:tcW w:w="923" w:type="dxa"/>
          </w:tcPr>
          <w:p>
            <w:pPr>
              <w:pStyle w:val="47"/>
              <w:rPr>
                <w:color w:val="auto"/>
                <w:highlight w:val="none"/>
              </w:rPr>
            </w:pPr>
          </w:p>
        </w:tc>
        <w:tc>
          <w:tcPr>
            <w:tcW w:w="922" w:type="dxa"/>
          </w:tcPr>
          <w:p>
            <w:pPr>
              <w:pStyle w:val="47"/>
              <w:rPr>
                <w:color w:val="auto"/>
                <w:highlight w:val="none"/>
              </w:rPr>
            </w:pPr>
          </w:p>
        </w:tc>
        <w:tc>
          <w:tcPr>
            <w:tcW w:w="1436" w:type="dxa"/>
          </w:tcPr>
          <w:p>
            <w:pPr>
              <w:pStyle w:val="47"/>
              <w:rPr>
                <w:color w:val="auto"/>
                <w:highlight w:val="none"/>
              </w:rPr>
            </w:pPr>
          </w:p>
        </w:tc>
        <w:tc>
          <w:tcPr>
            <w:tcW w:w="1022" w:type="dxa"/>
          </w:tcPr>
          <w:p>
            <w:pPr>
              <w:pStyle w:val="47"/>
              <w:rPr>
                <w:color w:val="auto"/>
                <w:highlight w:val="none"/>
              </w:rPr>
            </w:pPr>
          </w:p>
        </w:tc>
        <w:tc>
          <w:tcPr>
            <w:tcW w:w="1232" w:type="dxa"/>
          </w:tcPr>
          <w:p>
            <w:pPr>
              <w:pStyle w:val="47"/>
              <w:rPr>
                <w:color w:val="auto"/>
                <w:highlight w:val="none"/>
              </w:rPr>
            </w:pPr>
          </w:p>
        </w:tc>
        <w:tc>
          <w:tcPr>
            <w:tcW w:w="1229" w:type="dxa"/>
          </w:tcPr>
          <w:p>
            <w:pPr>
              <w:pStyle w:val="47"/>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7"/>
              <w:rPr>
                <w:color w:val="auto"/>
                <w:highlight w:val="none"/>
              </w:rPr>
            </w:pPr>
          </w:p>
        </w:tc>
        <w:tc>
          <w:tcPr>
            <w:tcW w:w="923" w:type="dxa"/>
          </w:tcPr>
          <w:p>
            <w:pPr>
              <w:pStyle w:val="47"/>
              <w:rPr>
                <w:color w:val="auto"/>
                <w:highlight w:val="none"/>
              </w:rPr>
            </w:pPr>
          </w:p>
        </w:tc>
        <w:tc>
          <w:tcPr>
            <w:tcW w:w="921" w:type="dxa"/>
          </w:tcPr>
          <w:p>
            <w:pPr>
              <w:pStyle w:val="47"/>
              <w:rPr>
                <w:color w:val="auto"/>
                <w:highlight w:val="none"/>
              </w:rPr>
            </w:pPr>
          </w:p>
        </w:tc>
        <w:tc>
          <w:tcPr>
            <w:tcW w:w="923" w:type="dxa"/>
          </w:tcPr>
          <w:p>
            <w:pPr>
              <w:pStyle w:val="47"/>
              <w:rPr>
                <w:color w:val="auto"/>
                <w:highlight w:val="none"/>
              </w:rPr>
            </w:pPr>
          </w:p>
        </w:tc>
        <w:tc>
          <w:tcPr>
            <w:tcW w:w="922" w:type="dxa"/>
          </w:tcPr>
          <w:p>
            <w:pPr>
              <w:pStyle w:val="47"/>
              <w:rPr>
                <w:color w:val="auto"/>
                <w:highlight w:val="none"/>
              </w:rPr>
            </w:pPr>
          </w:p>
        </w:tc>
        <w:tc>
          <w:tcPr>
            <w:tcW w:w="1436" w:type="dxa"/>
          </w:tcPr>
          <w:p>
            <w:pPr>
              <w:pStyle w:val="47"/>
              <w:rPr>
                <w:color w:val="auto"/>
                <w:highlight w:val="none"/>
              </w:rPr>
            </w:pPr>
          </w:p>
        </w:tc>
        <w:tc>
          <w:tcPr>
            <w:tcW w:w="1022" w:type="dxa"/>
          </w:tcPr>
          <w:p>
            <w:pPr>
              <w:pStyle w:val="47"/>
              <w:rPr>
                <w:color w:val="auto"/>
                <w:highlight w:val="none"/>
              </w:rPr>
            </w:pPr>
          </w:p>
        </w:tc>
        <w:tc>
          <w:tcPr>
            <w:tcW w:w="1232" w:type="dxa"/>
          </w:tcPr>
          <w:p>
            <w:pPr>
              <w:pStyle w:val="47"/>
              <w:rPr>
                <w:color w:val="auto"/>
                <w:highlight w:val="none"/>
              </w:rPr>
            </w:pPr>
          </w:p>
        </w:tc>
        <w:tc>
          <w:tcPr>
            <w:tcW w:w="1229" w:type="dxa"/>
          </w:tcPr>
          <w:p>
            <w:pPr>
              <w:pStyle w:val="47"/>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7"/>
              <w:rPr>
                <w:color w:val="auto"/>
                <w:highlight w:val="none"/>
              </w:rPr>
            </w:pPr>
          </w:p>
        </w:tc>
        <w:tc>
          <w:tcPr>
            <w:tcW w:w="923" w:type="dxa"/>
          </w:tcPr>
          <w:p>
            <w:pPr>
              <w:pStyle w:val="47"/>
              <w:rPr>
                <w:color w:val="auto"/>
                <w:highlight w:val="none"/>
              </w:rPr>
            </w:pPr>
          </w:p>
        </w:tc>
        <w:tc>
          <w:tcPr>
            <w:tcW w:w="921" w:type="dxa"/>
          </w:tcPr>
          <w:p>
            <w:pPr>
              <w:pStyle w:val="47"/>
              <w:rPr>
                <w:color w:val="auto"/>
                <w:highlight w:val="none"/>
              </w:rPr>
            </w:pPr>
          </w:p>
        </w:tc>
        <w:tc>
          <w:tcPr>
            <w:tcW w:w="923" w:type="dxa"/>
          </w:tcPr>
          <w:p>
            <w:pPr>
              <w:pStyle w:val="47"/>
              <w:rPr>
                <w:color w:val="auto"/>
                <w:highlight w:val="none"/>
              </w:rPr>
            </w:pPr>
          </w:p>
        </w:tc>
        <w:tc>
          <w:tcPr>
            <w:tcW w:w="922" w:type="dxa"/>
          </w:tcPr>
          <w:p>
            <w:pPr>
              <w:pStyle w:val="47"/>
              <w:rPr>
                <w:color w:val="auto"/>
                <w:highlight w:val="none"/>
              </w:rPr>
            </w:pPr>
          </w:p>
        </w:tc>
        <w:tc>
          <w:tcPr>
            <w:tcW w:w="1436" w:type="dxa"/>
          </w:tcPr>
          <w:p>
            <w:pPr>
              <w:pStyle w:val="47"/>
              <w:rPr>
                <w:color w:val="auto"/>
                <w:highlight w:val="none"/>
              </w:rPr>
            </w:pPr>
          </w:p>
        </w:tc>
        <w:tc>
          <w:tcPr>
            <w:tcW w:w="1022" w:type="dxa"/>
          </w:tcPr>
          <w:p>
            <w:pPr>
              <w:pStyle w:val="47"/>
              <w:rPr>
                <w:color w:val="auto"/>
                <w:highlight w:val="none"/>
              </w:rPr>
            </w:pPr>
          </w:p>
        </w:tc>
        <w:tc>
          <w:tcPr>
            <w:tcW w:w="1232" w:type="dxa"/>
          </w:tcPr>
          <w:p>
            <w:pPr>
              <w:pStyle w:val="47"/>
              <w:rPr>
                <w:color w:val="auto"/>
                <w:highlight w:val="none"/>
              </w:rPr>
            </w:pPr>
          </w:p>
        </w:tc>
        <w:tc>
          <w:tcPr>
            <w:tcW w:w="1229" w:type="dxa"/>
          </w:tcPr>
          <w:p>
            <w:pPr>
              <w:pStyle w:val="47"/>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tcPr>
          <w:p>
            <w:pPr>
              <w:pStyle w:val="47"/>
              <w:rPr>
                <w:color w:val="auto"/>
                <w:highlight w:val="none"/>
              </w:rPr>
            </w:pPr>
          </w:p>
        </w:tc>
        <w:tc>
          <w:tcPr>
            <w:tcW w:w="923" w:type="dxa"/>
          </w:tcPr>
          <w:p>
            <w:pPr>
              <w:pStyle w:val="47"/>
              <w:rPr>
                <w:color w:val="auto"/>
                <w:highlight w:val="none"/>
              </w:rPr>
            </w:pPr>
          </w:p>
        </w:tc>
        <w:tc>
          <w:tcPr>
            <w:tcW w:w="921" w:type="dxa"/>
          </w:tcPr>
          <w:p>
            <w:pPr>
              <w:pStyle w:val="47"/>
              <w:rPr>
                <w:color w:val="auto"/>
                <w:highlight w:val="none"/>
              </w:rPr>
            </w:pPr>
          </w:p>
        </w:tc>
        <w:tc>
          <w:tcPr>
            <w:tcW w:w="923" w:type="dxa"/>
          </w:tcPr>
          <w:p>
            <w:pPr>
              <w:pStyle w:val="47"/>
              <w:rPr>
                <w:color w:val="auto"/>
                <w:highlight w:val="none"/>
              </w:rPr>
            </w:pPr>
          </w:p>
        </w:tc>
        <w:tc>
          <w:tcPr>
            <w:tcW w:w="922" w:type="dxa"/>
          </w:tcPr>
          <w:p>
            <w:pPr>
              <w:pStyle w:val="47"/>
              <w:rPr>
                <w:color w:val="auto"/>
                <w:highlight w:val="none"/>
              </w:rPr>
            </w:pPr>
          </w:p>
        </w:tc>
        <w:tc>
          <w:tcPr>
            <w:tcW w:w="1436" w:type="dxa"/>
          </w:tcPr>
          <w:p>
            <w:pPr>
              <w:pStyle w:val="47"/>
              <w:rPr>
                <w:color w:val="auto"/>
                <w:highlight w:val="none"/>
              </w:rPr>
            </w:pPr>
          </w:p>
        </w:tc>
        <w:tc>
          <w:tcPr>
            <w:tcW w:w="1022" w:type="dxa"/>
          </w:tcPr>
          <w:p>
            <w:pPr>
              <w:pStyle w:val="47"/>
              <w:rPr>
                <w:color w:val="auto"/>
                <w:highlight w:val="none"/>
              </w:rPr>
            </w:pPr>
          </w:p>
        </w:tc>
        <w:tc>
          <w:tcPr>
            <w:tcW w:w="1232" w:type="dxa"/>
          </w:tcPr>
          <w:p>
            <w:pPr>
              <w:pStyle w:val="47"/>
              <w:rPr>
                <w:color w:val="auto"/>
                <w:highlight w:val="none"/>
              </w:rPr>
            </w:pPr>
          </w:p>
        </w:tc>
        <w:tc>
          <w:tcPr>
            <w:tcW w:w="1229" w:type="dxa"/>
          </w:tcPr>
          <w:p>
            <w:pPr>
              <w:pStyle w:val="47"/>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tcPr>
          <w:p>
            <w:pPr>
              <w:pStyle w:val="47"/>
              <w:rPr>
                <w:color w:val="auto"/>
                <w:highlight w:val="none"/>
              </w:rPr>
            </w:pPr>
          </w:p>
        </w:tc>
        <w:tc>
          <w:tcPr>
            <w:tcW w:w="923" w:type="dxa"/>
          </w:tcPr>
          <w:p>
            <w:pPr>
              <w:pStyle w:val="47"/>
              <w:rPr>
                <w:color w:val="auto"/>
                <w:highlight w:val="none"/>
              </w:rPr>
            </w:pPr>
          </w:p>
        </w:tc>
        <w:tc>
          <w:tcPr>
            <w:tcW w:w="921" w:type="dxa"/>
          </w:tcPr>
          <w:p>
            <w:pPr>
              <w:pStyle w:val="47"/>
              <w:rPr>
                <w:color w:val="auto"/>
                <w:highlight w:val="none"/>
              </w:rPr>
            </w:pPr>
          </w:p>
        </w:tc>
        <w:tc>
          <w:tcPr>
            <w:tcW w:w="923" w:type="dxa"/>
          </w:tcPr>
          <w:p>
            <w:pPr>
              <w:pStyle w:val="47"/>
              <w:rPr>
                <w:color w:val="auto"/>
                <w:highlight w:val="none"/>
              </w:rPr>
            </w:pPr>
          </w:p>
        </w:tc>
        <w:tc>
          <w:tcPr>
            <w:tcW w:w="922" w:type="dxa"/>
          </w:tcPr>
          <w:p>
            <w:pPr>
              <w:pStyle w:val="47"/>
              <w:rPr>
                <w:color w:val="auto"/>
                <w:highlight w:val="none"/>
              </w:rPr>
            </w:pPr>
          </w:p>
        </w:tc>
        <w:tc>
          <w:tcPr>
            <w:tcW w:w="1436" w:type="dxa"/>
          </w:tcPr>
          <w:p>
            <w:pPr>
              <w:pStyle w:val="47"/>
              <w:rPr>
                <w:color w:val="auto"/>
                <w:highlight w:val="none"/>
              </w:rPr>
            </w:pPr>
          </w:p>
        </w:tc>
        <w:tc>
          <w:tcPr>
            <w:tcW w:w="1022" w:type="dxa"/>
          </w:tcPr>
          <w:p>
            <w:pPr>
              <w:pStyle w:val="47"/>
              <w:rPr>
                <w:color w:val="auto"/>
                <w:highlight w:val="none"/>
              </w:rPr>
            </w:pPr>
          </w:p>
        </w:tc>
        <w:tc>
          <w:tcPr>
            <w:tcW w:w="1232" w:type="dxa"/>
          </w:tcPr>
          <w:p>
            <w:pPr>
              <w:pStyle w:val="47"/>
              <w:rPr>
                <w:color w:val="auto"/>
                <w:highlight w:val="none"/>
              </w:rPr>
            </w:pPr>
          </w:p>
        </w:tc>
        <w:tc>
          <w:tcPr>
            <w:tcW w:w="1229" w:type="dxa"/>
          </w:tcPr>
          <w:p>
            <w:pPr>
              <w:pStyle w:val="47"/>
              <w:rPr>
                <w:color w:val="auto"/>
                <w:highlight w:val="none"/>
              </w:rPr>
            </w:pPr>
          </w:p>
        </w:tc>
      </w:tr>
    </w:tbl>
    <w:p>
      <w:pPr>
        <w:pStyle w:val="49"/>
        <w:ind w:firstLine="482"/>
        <w:rPr>
          <w:color w:val="auto"/>
          <w:highlight w:val="none"/>
        </w:rPr>
      </w:pPr>
      <w:r>
        <w:rPr>
          <w:rFonts w:hint="eastAsia"/>
          <w:color w:val="auto"/>
          <w:highlight w:val="none"/>
        </w:rPr>
        <w:t>注：①投标人根据自身实际情况调整填写，对不涉及的内容可填写“/”。②本表所列项目管理成员信息将作为主管部门监督管理是否属于串通投标的情形。</w:t>
      </w:r>
    </w:p>
    <w:p>
      <w:pPr>
        <w:pStyle w:val="44"/>
        <w:rPr>
          <w:color w:val="auto"/>
          <w:highlight w:val="none"/>
        </w:rPr>
      </w:pPr>
    </w:p>
    <w:p>
      <w:pPr>
        <w:pStyle w:val="44"/>
        <w:rPr>
          <w:color w:val="auto"/>
          <w:highlight w:val="none"/>
        </w:rPr>
      </w:pPr>
    </w:p>
    <w:p>
      <w:pPr>
        <w:pStyle w:val="48"/>
        <w:rPr>
          <w:color w:val="auto"/>
          <w:highlight w:val="none"/>
        </w:rPr>
      </w:pP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(盖章)</w:t>
      </w:r>
    </w:p>
    <w:p>
      <w:pPr>
        <w:pStyle w:val="48"/>
        <w:rPr>
          <w:color w:val="auto"/>
          <w:highlight w:val="none"/>
        </w:rPr>
      </w:pPr>
      <w:r>
        <w:rPr>
          <w:rFonts w:hint="eastAsia"/>
          <w:color w:val="auto"/>
          <w:highlight w:val="none"/>
        </w:rPr>
        <w:t>法定代表人/单位负责人或授权代表：</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(签字或盖章)</w:t>
      </w:r>
    </w:p>
    <w:p>
      <w:pPr>
        <w:pStyle w:val="48"/>
        <w:rPr>
          <w:color w:val="auto"/>
          <w:highlight w:val="none"/>
        </w:rPr>
      </w:pPr>
      <w:r>
        <w:rPr>
          <w:rFonts w:hint="eastAsia"/>
          <w:color w:val="auto"/>
          <w:highlight w:val="none"/>
        </w:rPr>
        <w:t>投标日期：</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44"/>
        <w:rPr>
          <w:color w:val="auto"/>
          <w:highlight w:val="none"/>
        </w:rPr>
      </w:pPr>
      <w:r>
        <w:rPr>
          <w:rFonts w:hint="eastAsia"/>
          <w:color w:val="auto"/>
          <w:highlight w:val="none"/>
        </w:rPr>
        <w:br w:type="page"/>
      </w:r>
      <w:bookmarkEnd w:id="1005"/>
    </w:p>
    <w:p>
      <w:pPr>
        <w:pStyle w:val="46"/>
        <w:numPr>
          <w:ilvl w:val="0"/>
          <w:numId w:val="26"/>
        </w:numPr>
        <w:spacing w:before="120" w:after="120"/>
        <w:ind w:firstLine="0"/>
        <w:rPr>
          <w:color w:val="auto"/>
          <w:highlight w:val="none"/>
        </w:rPr>
      </w:pPr>
      <w:bookmarkStart w:id="1006" w:name="_Toc7350"/>
      <w:bookmarkStart w:id="1007" w:name="_Toc10141"/>
      <w:bookmarkStart w:id="1008" w:name="_Toc2450"/>
      <w:bookmarkStart w:id="1009" w:name="_Toc122"/>
      <w:bookmarkStart w:id="1010" w:name="_Toc8563"/>
      <w:r>
        <w:rPr>
          <w:rFonts w:hint="eastAsia"/>
          <w:color w:val="auto"/>
          <w:highlight w:val="none"/>
        </w:rPr>
        <w:t>小微企业、监狱企业、残疾人福利性单位价格扣除</w:t>
      </w:r>
      <w:bookmarkEnd w:id="1006"/>
      <w:bookmarkEnd w:id="1007"/>
    </w:p>
    <w:p>
      <w:pPr>
        <w:pStyle w:val="46"/>
        <w:pageBreakBefore w:val="0"/>
        <w:spacing w:before="120" w:after="120"/>
        <w:outlineLvl w:val="3"/>
        <w:rPr>
          <w:color w:val="auto"/>
          <w:highlight w:val="none"/>
        </w:rPr>
      </w:pPr>
      <w:bookmarkStart w:id="1011" w:name="_Toc27528"/>
      <w:bookmarkStart w:id="1012" w:name="_Toc28053"/>
      <w:r>
        <w:rPr>
          <w:rFonts w:hint="eastAsia"/>
          <w:color w:val="auto"/>
          <w:highlight w:val="none"/>
        </w:rPr>
        <w:t>(一)中小企业声明函</w:t>
      </w:r>
      <w:bookmarkEnd w:id="1008"/>
      <w:r>
        <w:rPr>
          <w:rFonts w:hint="eastAsia"/>
          <w:color w:val="auto"/>
          <w:highlight w:val="none"/>
        </w:rPr>
        <w:t>(货物</w:t>
      </w:r>
      <w:bookmarkEnd w:id="1009"/>
      <w:bookmarkEnd w:id="1010"/>
      <w:r>
        <w:rPr>
          <w:rFonts w:hint="eastAsia"/>
          <w:color w:val="auto"/>
          <w:highlight w:val="none"/>
        </w:rPr>
        <w:t>)</w:t>
      </w:r>
      <w:bookmarkEnd w:id="1011"/>
      <w:bookmarkEnd w:id="1012"/>
    </w:p>
    <w:p>
      <w:pPr>
        <w:pStyle w:val="49"/>
        <w:spacing w:line="520" w:lineRule="exact"/>
        <w:rPr>
          <w:b w:val="0"/>
          <w:bCs/>
          <w:color w:val="auto"/>
          <w:highlight w:val="none"/>
        </w:rPr>
      </w:pPr>
      <w:bookmarkStart w:id="1013" w:name="_Toc8055"/>
      <w:bookmarkStart w:id="1014" w:name="_Toc419811733"/>
      <w:bookmarkStart w:id="1015" w:name="_Toc413748654"/>
      <w:bookmarkStart w:id="1016" w:name="_Toc387658050"/>
      <w:bookmarkStart w:id="1017" w:name="_Toc387147344"/>
      <w:bookmarkStart w:id="1018" w:name="_Toc417911732"/>
      <w:r>
        <w:rPr>
          <w:rFonts w:hint="eastAsia"/>
          <w:b w:val="0"/>
          <w:bCs/>
          <w:color w:val="auto"/>
          <w:highlight w:val="none"/>
        </w:rPr>
        <w:t>本公司郑重声明，</w:t>
      </w:r>
      <w:r>
        <w:rPr>
          <w:rFonts w:hint="eastAsia"/>
          <w:b w:val="0"/>
          <w:bCs/>
          <w:color w:val="auto"/>
          <w:highlight w:val="none"/>
          <w:lang w:val="en-US" w:eastAsia="zh-CN"/>
        </w:rPr>
        <w:t>参照</w:t>
      </w:r>
      <w:r>
        <w:rPr>
          <w:rFonts w:hint="eastAsia"/>
          <w:b w:val="0"/>
          <w:bCs/>
          <w:color w:val="auto"/>
          <w:highlight w:val="none"/>
        </w:rPr>
        <w:t>《政府采购促进中小企业发展管理办法》(财库〔2020〕46号)的规定，本公司参加</w:t>
      </w:r>
      <w:r>
        <w:rPr>
          <w:rFonts w:hint="eastAsia"/>
          <w:b w:val="0"/>
          <w:bCs/>
          <w:color w:val="auto"/>
          <w:highlight w:val="none"/>
          <w:u w:val="single"/>
        </w:rPr>
        <w:t>(</w:t>
      </w:r>
      <w:r>
        <w:rPr>
          <w:rFonts w:hint="eastAsia"/>
          <w:b w:val="0"/>
          <w:bCs/>
          <w:color w:val="auto"/>
          <w:highlight w:val="none"/>
          <w:u w:val="single"/>
          <w:lang w:eastAsia="zh-CN"/>
        </w:rPr>
        <w:t>成都市技师学院</w:t>
      </w:r>
      <w:r>
        <w:rPr>
          <w:rFonts w:hint="eastAsia"/>
          <w:b w:val="0"/>
          <w:bCs/>
          <w:color w:val="auto"/>
          <w:highlight w:val="none"/>
          <w:u w:val="single"/>
        </w:rPr>
        <w:t>)</w:t>
      </w:r>
      <w:r>
        <w:rPr>
          <w:rFonts w:hint="eastAsia"/>
          <w:b w:val="0"/>
          <w:bCs/>
          <w:color w:val="auto"/>
          <w:highlight w:val="none"/>
        </w:rPr>
        <w:t>的</w:t>
      </w:r>
      <w:r>
        <w:rPr>
          <w:rFonts w:hint="eastAsia"/>
          <w:b w:val="0"/>
          <w:bCs/>
          <w:color w:val="auto"/>
          <w:highlight w:val="none"/>
          <w:u w:val="single"/>
        </w:rPr>
        <w:t>(</w:t>
      </w:r>
      <w:r>
        <w:rPr>
          <w:rFonts w:hint="eastAsia"/>
          <w:b w:val="0"/>
          <w:bCs/>
          <w:color w:val="auto"/>
          <w:highlight w:val="none"/>
          <w:u w:val="single"/>
          <w:lang w:eastAsia="zh-CN"/>
        </w:rPr>
        <w:t>成都市技师学院(成都工贸职业技术学院)2023年学生工装采购项目</w:t>
      </w:r>
      <w:r>
        <w:rPr>
          <w:rFonts w:hint="eastAsia"/>
          <w:b w:val="0"/>
          <w:bCs/>
          <w:color w:val="auto"/>
          <w:highlight w:val="none"/>
          <w:u w:val="single"/>
        </w:rPr>
        <w:t>)</w:t>
      </w:r>
      <w:r>
        <w:rPr>
          <w:rFonts w:hint="eastAsia"/>
          <w:b w:val="0"/>
          <w:bCs/>
          <w:color w:val="auto"/>
          <w:highlight w:val="none"/>
        </w:rPr>
        <w:t>采购活动，提供的货物全部由符合政策要求的中小企业制造。相关企业的具体情况如下：</w:t>
      </w:r>
    </w:p>
    <w:p>
      <w:pPr>
        <w:pStyle w:val="49"/>
        <w:spacing w:line="520" w:lineRule="exact"/>
        <w:rPr>
          <w:rFonts w:hint="eastAsia"/>
          <w:b w:val="0"/>
          <w:bCs/>
          <w:color w:val="auto"/>
          <w:highlight w:val="none"/>
        </w:rPr>
      </w:pPr>
      <w:r>
        <w:rPr>
          <w:rFonts w:hint="eastAsia"/>
          <w:b w:val="0"/>
          <w:bCs/>
          <w:color w:val="auto"/>
          <w:highlight w:val="none"/>
        </w:rPr>
        <w:t xml:space="preserve"> </w:t>
      </w:r>
      <w:r>
        <w:rPr>
          <w:rFonts w:hint="eastAsia"/>
          <w:b w:val="0"/>
          <w:bCs/>
          <w:color w:val="auto"/>
          <w:highlight w:val="none"/>
          <w:u w:val="single"/>
        </w:rPr>
        <w:t>(A1工装套装)</w:t>
      </w:r>
      <w:r>
        <w:rPr>
          <w:rFonts w:hint="eastAsia"/>
          <w:b w:val="0"/>
          <w:bCs/>
          <w:color w:val="auto"/>
          <w:highlight w:val="none"/>
        </w:rPr>
        <w:t>，属于</w:t>
      </w:r>
      <w:r>
        <w:rPr>
          <w:rFonts w:hint="eastAsia"/>
          <w:b w:val="0"/>
          <w:bCs/>
          <w:color w:val="auto"/>
          <w:highlight w:val="none"/>
          <w:u w:val="single"/>
        </w:rPr>
        <w:t>(</w:t>
      </w:r>
      <w:r>
        <w:rPr>
          <w:rFonts w:hint="eastAsia"/>
          <w:b w:val="0"/>
          <w:bCs/>
          <w:color w:val="auto"/>
          <w:highlight w:val="none"/>
          <w:u w:val="single"/>
          <w:lang w:val="en-US" w:eastAsia="zh-CN"/>
        </w:rPr>
        <w:t>工业</w:t>
      </w:r>
      <w:r>
        <w:rPr>
          <w:rFonts w:hint="eastAsia"/>
          <w:b w:val="0"/>
          <w:bCs/>
          <w:color w:val="auto"/>
          <w:highlight w:val="none"/>
          <w:u w:val="single"/>
        </w:rPr>
        <w:t>)</w:t>
      </w:r>
      <w:r>
        <w:rPr>
          <w:rFonts w:hint="eastAsia"/>
          <w:b w:val="0"/>
          <w:bCs/>
          <w:color w:val="auto"/>
          <w:highlight w:val="none"/>
        </w:rPr>
        <w:t>行业；制造商为</w:t>
      </w:r>
      <w:r>
        <w:rPr>
          <w:rFonts w:hint="eastAsia"/>
          <w:b w:val="0"/>
          <w:bCs/>
          <w:color w:val="auto"/>
          <w:highlight w:val="none"/>
          <w:u w:val="single"/>
        </w:rPr>
        <w:t>(企业名称)</w:t>
      </w:r>
      <w:r>
        <w:rPr>
          <w:rFonts w:hint="eastAsia"/>
          <w:b w:val="0"/>
          <w:bCs/>
          <w:color w:val="auto"/>
          <w:highlight w:val="none"/>
        </w:rPr>
        <w:t>，从业人员</w:t>
      </w:r>
      <w:r>
        <w:rPr>
          <w:rFonts w:hint="eastAsia"/>
          <w:b w:val="0"/>
          <w:bCs/>
          <w:color w:val="auto"/>
          <w:highlight w:val="none"/>
          <w:u w:val="single"/>
        </w:rPr>
        <w:t xml:space="preserve">   </w:t>
      </w:r>
      <w:r>
        <w:rPr>
          <w:rFonts w:hint="eastAsia"/>
          <w:b w:val="0"/>
          <w:bCs/>
          <w:color w:val="auto"/>
          <w:highlight w:val="none"/>
        </w:rPr>
        <w:t>人，营业收入为</w:t>
      </w:r>
      <w:r>
        <w:rPr>
          <w:rFonts w:hint="eastAsia"/>
          <w:b w:val="0"/>
          <w:bCs/>
          <w:color w:val="auto"/>
          <w:highlight w:val="none"/>
          <w:u w:val="single"/>
        </w:rPr>
        <w:t xml:space="preserve">   </w:t>
      </w:r>
      <w:r>
        <w:rPr>
          <w:rFonts w:hint="eastAsia"/>
          <w:b w:val="0"/>
          <w:bCs/>
          <w:color w:val="auto"/>
          <w:highlight w:val="none"/>
        </w:rPr>
        <w:tab/>
      </w:r>
      <w:r>
        <w:rPr>
          <w:rFonts w:hint="eastAsia"/>
          <w:b w:val="0"/>
          <w:bCs/>
          <w:color w:val="auto"/>
          <w:highlight w:val="none"/>
        </w:rPr>
        <w:t>万元，资产总额为</w:t>
      </w:r>
      <w:r>
        <w:rPr>
          <w:rFonts w:hint="eastAsia"/>
          <w:b w:val="0"/>
          <w:bCs/>
          <w:color w:val="auto"/>
          <w:highlight w:val="none"/>
          <w:u w:val="single"/>
        </w:rPr>
        <w:t xml:space="preserve">   </w:t>
      </w:r>
      <w:r>
        <w:rPr>
          <w:rFonts w:hint="eastAsia"/>
          <w:b w:val="0"/>
          <w:bCs/>
          <w:color w:val="auto"/>
          <w:highlight w:val="none"/>
        </w:rPr>
        <w:tab/>
      </w:r>
      <w:r>
        <w:rPr>
          <w:rFonts w:hint="eastAsia"/>
          <w:b w:val="0"/>
          <w:bCs/>
          <w:color w:val="auto"/>
          <w:highlight w:val="none"/>
        </w:rPr>
        <w:t>万元，属于</w:t>
      </w:r>
      <w:r>
        <w:rPr>
          <w:rFonts w:hint="eastAsia"/>
          <w:b w:val="0"/>
          <w:bCs/>
          <w:color w:val="auto"/>
          <w:highlight w:val="none"/>
          <w:u w:val="single"/>
        </w:rPr>
        <w:t>(中型企业、小型企业、微型企业)</w:t>
      </w:r>
      <w:r>
        <w:rPr>
          <w:rFonts w:hint="eastAsia"/>
          <w:b w:val="0"/>
          <w:bCs/>
          <w:color w:val="auto"/>
          <w:highlight w:val="none"/>
        </w:rPr>
        <w:t xml:space="preserve">； </w:t>
      </w:r>
    </w:p>
    <w:p>
      <w:pPr>
        <w:pStyle w:val="49"/>
        <w:spacing w:line="520" w:lineRule="exact"/>
        <w:rPr>
          <w:rFonts w:hint="eastAsia"/>
          <w:b w:val="0"/>
          <w:bCs/>
          <w:color w:val="auto"/>
          <w:highlight w:val="none"/>
        </w:rPr>
      </w:pPr>
      <w:r>
        <w:rPr>
          <w:rFonts w:hint="eastAsia"/>
          <w:b w:val="0"/>
          <w:bCs/>
          <w:color w:val="auto"/>
          <w:highlight w:val="none"/>
          <w:u w:val="single"/>
        </w:rPr>
        <w:t>(A2西装套装)</w:t>
      </w:r>
      <w:r>
        <w:rPr>
          <w:rFonts w:hint="eastAsia"/>
          <w:b w:val="0"/>
          <w:bCs/>
          <w:color w:val="auto"/>
          <w:highlight w:val="none"/>
        </w:rPr>
        <w:t>，属于</w:t>
      </w:r>
      <w:r>
        <w:rPr>
          <w:rFonts w:hint="eastAsia"/>
          <w:b w:val="0"/>
          <w:bCs/>
          <w:color w:val="auto"/>
          <w:highlight w:val="none"/>
          <w:u w:val="single"/>
        </w:rPr>
        <w:t>(</w:t>
      </w:r>
      <w:r>
        <w:rPr>
          <w:rFonts w:hint="eastAsia"/>
          <w:b w:val="0"/>
          <w:bCs/>
          <w:color w:val="auto"/>
          <w:highlight w:val="none"/>
          <w:u w:val="single"/>
          <w:lang w:val="en-US" w:eastAsia="zh-CN"/>
        </w:rPr>
        <w:t>工业</w:t>
      </w:r>
      <w:r>
        <w:rPr>
          <w:rFonts w:hint="eastAsia"/>
          <w:b w:val="0"/>
          <w:bCs/>
          <w:color w:val="auto"/>
          <w:highlight w:val="none"/>
          <w:u w:val="single"/>
        </w:rPr>
        <w:t>)</w:t>
      </w:r>
      <w:r>
        <w:rPr>
          <w:rFonts w:hint="eastAsia"/>
          <w:b w:val="0"/>
          <w:bCs/>
          <w:color w:val="auto"/>
          <w:highlight w:val="none"/>
        </w:rPr>
        <w:t>行业；制造商为</w:t>
      </w:r>
      <w:r>
        <w:rPr>
          <w:rFonts w:hint="eastAsia"/>
          <w:b w:val="0"/>
          <w:bCs/>
          <w:color w:val="auto"/>
          <w:highlight w:val="none"/>
          <w:u w:val="single"/>
        </w:rPr>
        <w:t>(企业名称)</w:t>
      </w:r>
      <w:r>
        <w:rPr>
          <w:rFonts w:hint="eastAsia"/>
          <w:b w:val="0"/>
          <w:bCs/>
          <w:color w:val="auto"/>
          <w:highlight w:val="none"/>
        </w:rPr>
        <w:t>，从业人员</w:t>
      </w:r>
      <w:r>
        <w:rPr>
          <w:rFonts w:hint="eastAsia"/>
          <w:b w:val="0"/>
          <w:bCs/>
          <w:color w:val="auto"/>
          <w:highlight w:val="none"/>
          <w:u w:val="single"/>
        </w:rPr>
        <w:t xml:space="preserve">   </w:t>
      </w:r>
      <w:r>
        <w:rPr>
          <w:rFonts w:hint="eastAsia"/>
          <w:b w:val="0"/>
          <w:bCs/>
          <w:color w:val="auto"/>
          <w:highlight w:val="none"/>
        </w:rPr>
        <w:t>人，营业收入为</w:t>
      </w:r>
      <w:r>
        <w:rPr>
          <w:rFonts w:hint="eastAsia"/>
          <w:b w:val="0"/>
          <w:bCs/>
          <w:color w:val="auto"/>
          <w:highlight w:val="none"/>
          <w:u w:val="single"/>
        </w:rPr>
        <w:t xml:space="preserve">   </w:t>
      </w:r>
      <w:r>
        <w:rPr>
          <w:rFonts w:hint="eastAsia"/>
          <w:b w:val="0"/>
          <w:bCs/>
          <w:color w:val="auto"/>
          <w:highlight w:val="none"/>
        </w:rPr>
        <w:tab/>
      </w:r>
      <w:r>
        <w:rPr>
          <w:rFonts w:hint="eastAsia"/>
          <w:b w:val="0"/>
          <w:bCs/>
          <w:color w:val="auto"/>
          <w:highlight w:val="none"/>
        </w:rPr>
        <w:t>万元，资产总额为</w:t>
      </w:r>
      <w:r>
        <w:rPr>
          <w:rFonts w:hint="eastAsia"/>
          <w:b w:val="0"/>
          <w:bCs/>
          <w:color w:val="auto"/>
          <w:highlight w:val="none"/>
          <w:u w:val="single"/>
        </w:rPr>
        <w:t xml:space="preserve">   </w:t>
      </w:r>
      <w:r>
        <w:rPr>
          <w:rFonts w:hint="eastAsia"/>
          <w:b w:val="0"/>
          <w:bCs/>
          <w:color w:val="auto"/>
          <w:highlight w:val="none"/>
        </w:rPr>
        <w:tab/>
      </w:r>
      <w:r>
        <w:rPr>
          <w:rFonts w:hint="eastAsia"/>
          <w:b w:val="0"/>
          <w:bCs/>
          <w:color w:val="auto"/>
          <w:highlight w:val="none"/>
        </w:rPr>
        <w:t>万元，属于</w:t>
      </w:r>
      <w:r>
        <w:rPr>
          <w:rFonts w:hint="eastAsia"/>
          <w:b w:val="0"/>
          <w:bCs/>
          <w:color w:val="auto"/>
          <w:highlight w:val="none"/>
          <w:u w:val="single"/>
        </w:rPr>
        <w:t>(中型企业、小型企业、微型企业)</w:t>
      </w:r>
      <w:r>
        <w:rPr>
          <w:rFonts w:hint="eastAsia"/>
          <w:b w:val="0"/>
          <w:bCs/>
          <w:color w:val="auto"/>
          <w:highlight w:val="none"/>
        </w:rPr>
        <w:t>；</w:t>
      </w:r>
    </w:p>
    <w:p>
      <w:pPr>
        <w:pStyle w:val="49"/>
        <w:spacing w:line="520" w:lineRule="exact"/>
        <w:rPr>
          <w:rFonts w:hint="eastAsia"/>
          <w:b w:val="0"/>
          <w:bCs/>
          <w:color w:val="auto"/>
          <w:highlight w:val="none"/>
        </w:rPr>
      </w:pPr>
      <w:r>
        <w:rPr>
          <w:rFonts w:hint="eastAsia"/>
          <w:b w:val="0"/>
          <w:bCs/>
          <w:color w:val="auto"/>
          <w:highlight w:val="none"/>
          <w:u w:val="single"/>
        </w:rPr>
        <w:t>(B1工装套装)</w:t>
      </w:r>
      <w:r>
        <w:rPr>
          <w:rFonts w:hint="eastAsia"/>
          <w:b w:val="0"/>
          <w:bCs/>
          <w:color w:val="auto"/>
          <w:highlight w:val="none"/>
        </w:rPr>
        <w:t>，属于</w:t>
      </w:r>
      <w:r>
        <w:rPr>
          <w:rFonts w:hint="eastAsia"/>
          <w:b w:val="0"/>
          <w:bCs/>
          <w:color w:val="auto"/>
          <w:highlight w:val="none"/>
          <w:u w:val="single"/>
        </w:rPr>
        <w:t>(</w:t>
      </w:r>
      <w:r>
        <w:rPr>
          <w:rFonts w:hint="eastAsia"/>
          <w:b w:val="0"/>
          <w:bCs/>
          <w:color w:val="auto"/>
          <w:highlight w:val="none"/>
          <w:u w:val="single"/>
          <w:lang w:val="en-US" w:eastAsia="zh-CN"/>
        </w:rPr>
        <w:t>工业</w:t>
      </w:r>
      <w:r>
        <w:rPr>
          <w:rFonts w:hint="eastAsia"/>
          <w:b w:val="0"/>
          <w:bCs/>
          <w:color w:val="auto"/>
          <w:highlight w:val="none"/>
          <w:u w:val="single"/>
        </w:rPr>
        <w:t>)</w:t>
      </w:r>
      <w:r>
        <w:rPr>
          <w:rFonts w:hint="eastAsia"/>
          <w:b w:val="0"/>
          <w:bCs/>
          <w:color w:val="auto"/>
          <w:highlight w:val="none"/>
        </w:rPr>
        <w:t>行业；制造商为</w:t>
      </w:r>
      <w:r>
        <w:rPr>
          <w:rFonts w:hint="eastAsia"/>
          <w:b w:val="0"/>
          <w:bCs/>
          <w:color w:val="auto"/>
          <w:highlight w:val="none"/>
          <w:u w:val="single"/>
        </w:rPr>
        <w:t>(企业名称)</w:t>
      </w:r>
      <w:r>
        <w:rPr>
          <w:rFonts w:hint="eastAsia"/>
          <w:b w:val="0"/>
          <w:bCs/>
          <w:color w:val="auto"/>
          <w:highlight w:val="none"/>
        </w:rPr>
        <w:t>，从业人员</w:t>
      </w:r>
      <w:r>
        <w:rPr>
          <w:rFonts w:hint="eastAsia"/>
          <w:b w:val="0"/>
          <w:bCs/>
          <w:color w:val="auto"/>
          <w:highlight w:val="none"/>
          <w:u w:val="single"/>
        </w:rPr>
        <w:t xml:space="preserve">   </w:t>
      </w:r>
      <w:r>
        <w:rPr>
          <w:rFonts w:hint="eastAsia"/>
          <w:b w:val="0"/>
          <w:bCs/>
          <w:color w:val="auto"/>
          <w:highlight w:val="none"/>
        </w:rPr>
        <w:t>人，营业收入为</w:t>
      </w:r>
      <w:r>
        <w:rPr>
          <w:rFonts w:hint="eastAsia"/>
          <w:b w:val="0"/>
          <w:bCs/>
          <w:color w:val="auto"/>
          <w:highlight w:val="none"/>
          <w:u w:val="single"/>
        </w:rPr>
        <w:t xml:space="preserve">   </w:t>
      </w:r>
      <w:r>
        <w:rPr>
          <w:rFonts w:hint="eastAsia"/>
          <w:b w:val="0"/>
          <w:bCs/>
          <w:color w:val="auto"/>
          <w:highlight w:val="none"/>
        </w:rPr>
        <w:tab/>
      </w:r>
      <w:r>
        <w:rPr>
          <w:rFonts w:hint="eastAsia"/>
          <w:b w:val="0"/>
          <w:bCs/>
          <w:color w:val="auto"/>
          <w:highlight w:val="none"/>
        </w:rPr>
        <w:t>万元，资产总额为</w:t>
      </w:r>
      <w:r>
        <w:rPr>
          <w:rFonts w:hint="eastAsia"/>
          <w:b w:val="0"/>
          <w:bCs/>
          <w:color w:val="auto"/>
          <w:highlight w:val="none"/>
          <w:u w:val="single"/>
        </w:rPr>
        <w:t xml:space="preserve">   </w:t>
      </w:r>
      <w:r>
        <w:rPr>
          <w:rFonts w:hint="eastAsia"/>
          <w:b w:val="0"/>
          <w:bCs/>
          <w:color w:val="auto"/>
          <w:highlight w:val="none"/>
        </w:rPr>
        <w:tab/>
      </w:r>
      <w:r>
        <w:rPr>
          <w:rFonts w:hint="eastAsia"/>
          <w:b w:val="0"/>
          <w:bCs/>
          <w:color w:val="auto"/>
          <w:highlight w:val="none"/>
        </w:rPr>
        <w:t>万元，属于</w:t>
      </w:r>
      <w:r>
        <w:rPr>
          <w:rFonts w:hint="eastAsia"/>
          <w:b w:val="0"/>
          <w:bCs/>
          <w:color w:val="auto"/>
          <w:highlight w:val="none"/>
          <w:u w:val="single"/>
        </w:rPr>
        <w:t>(中型企业、小型企业、微型企业)</w:t>
      </w:r>
      <w:r>
        <w:rPr>
          <w:rFonts w:hint="eastAsia"/>
          <w:b w:val="0"/>
          <w:bCs/>
          <w:color w:val="auto"/>
          <w:highlight w:val="none"/>
        </w:rPr>
        <w:t xml:space="preserve">； </w:t>
      </w:r>
    </w:p>
    <w:p>
      <w:pPr>
        <w:pStyle w:val="49"/>
        <w:spacing w:line="520" w:lineRule="exact"/>
        <w:rPr>
          <w:rFonts w:hint="eastAsia" w:eastAsia="宋体"/>
          <w:b w:val="0"/>
          <w:bCs/>
          <w:color w:val="auto"/>
          <w:highlight w:val="none"/>
          <w:lang w:eastAsia="zh-CN"/>
        </w:rPr>
      </w:pPr>
      <w:r>
        <w:rPr>
          <w:rFonts w:hint="eastAsia"/>
          <w:b w:val="0"/>
          <w:bCs/>
          <w:color w:val="auto"/>
          <w:highlight w:val="none"/>
          <w:u w:val="single"/>
        </w:rPr>
        <w:t>(B2西服套装)</w:t>
      </w:r>
      <w:r>
        <w:rPr>
          <w:rFonts w:hint="eastAsia"/>
          <w:b w:val="0"/>
          <w:bCs/>
          <w:color w:val="auto"/>
          <w:highlight w:val="none"/>
        </w:rPr>
        <w:t>，属于</w:t>
      </w:r>
      <w:r>
        <w:rPr>
          <w:rFonts w:hint="eastAsia"/>
          <w:b w:val="0"/>
          <w:bCs/>
          <w:color w:val="auto"/>
          <w:highlight w:val="none"/>
          <w:u w:val="single"/>
        </w:rPr>
        <w:t>(</w:t>
      </w:r>
      <w:r>
        <w:rPr>
          <w:rFonts w:hint="eastAsia"/>
          <w:b w:val="0"/>
          <w:bCs/>
          <w:color w:val="auto"/>
          <w:highlight w:val="none"/>
          <w:u w:val="single"/>
          <w:lang w:val="en-US" w:eastAsia="zh-CN"/>
        </w:rPr>
        <w:t>工业</w:t>
      </w:r>
      <w:r>
        <w:rPr>
          <w:rFonts w:hint="eastAsia"/>
          <w:b w:val="0"/>
          <w:bCs/>
          <w:color w:val="auto"/>
          <w:highlight w:val="none"/>
          <w:u w:val="single"/>
        </w:rPr>
        <w:t>)</w:t>
      </w:r>
      <w:r>
        <w:rPr>
          <w:rFonts w:hint="eastAsia"/>
          <w:b w:val="0"/>
          <w:bCs/>
          <w:color w:val="auto"/>
          <w:highlight w:val="none"/>
        </w:rPr>
        <w:t>行业；制造商为</w:t>
      </w:r>
      <w:r>
        <w:rPr>
          <w:rFonts w:hint="eastAsia"/>
          <w:b w:val="0"/>
          <w:bCs/>
          <w:color w:val="auto"/>
          <w:highlight w:val="none"/>
          <w:u w:val="single"/>
        </w:rPr>
        <w:t>(企业名称)</w:t>
      </w:r>
      <w:r>
        <w:rPr>
          <w:rFonts w:hint="eastAsia"/>
          <w:b w:val="0"/>
          <w:bCs/>
          <w:color w:val="auto"/>
          <w:highlight w:val="none"/>
        </w:rPr>
        <w:t>，从业人员</w:t>
      </w:r>
      <w:r>
        <w:rPr>
          <w:rFonts w:hint="eastAsia"/>
          <w:b w:val="0"/>
          <w:bCs/>
          <w:color w:val="auto"/>
          <w:highlight w:val="none"/>
          <w:u w:val="single"/>
        </w:rPr>
        <w:t xml:space="preserve">   </w:t>
      </w:r>
      <w:r>
        <w:rPr>
          <w:rFonts w:hint="eastAsia"/>
          <w:b w:val="0"/>
          <w:bCs/>
          <w:color w:val="auto"/>
          <w:highlight w:val="none"/>
        </w:rPr>
        <w:t>人，营业收入为</w:t>
      </w:r>
      <w:r>
        <w:rPr>
          <w:rFonts w:hint="eastAsia"/>
          <w:b w:val="0"/>
          <w:bCs/>
          <w:color w:val="auto"/>
          <w:highlight w:val="none"/>
          <w:u w:val="single"/>
        </w:rPr>
        <w:t xml:space="preserve">   </w:t>
      </w:r>
      <w:r>
        <w:rPr>
          <w:rFonts w:hint="eastAsia"/>
          <w:b w:val="0"/>
          <w:bCs/>
          <w:color w:val="auto"/>
          <w:highlight w:val="none"/>
        </w:rPr>
        <w:tab/>
      </w:r>
      <w:r>
        <w:rPr>
          <w:rFonts w:hint="eastAsia"/>
          <w:b w:val="0"/>
          <w:bCs/>
          <w:color w:val="auto"/>
          <w:highlight w:val="none"/>
        </w:rPr>
        <w:t>万元，资产总额为</w:t>
      </w:r>
      <w:r>
        <w:rPr>
          <w:rFonts w:hint="eastAsia"/>
          <w:b w:val="0"/>
          <w:bCs/>
          <w:color w:val="auto"/>
          <w:highlight w:val="none"/>
          <w:u w:val="single"/>
        </w:rPr>
        <w:t xml:space="preserve">   </w:t>
      </w:r>
      <w:r>
        <w:rPr>
          <w:rFonts w:hint="eastAsia"/>
          <w:b w:val="0"/>
          <w:bCs/>
          <w:color w:val="auto"/>
          <w:highlight w:val="none"/>
        </w:rPr>
        <w:tab/>
      </w:r>
      <w:r>
        <w:rPr>
          <w:rFonts w:hint="eastAsia"/>
          <w:b w:val="0"/>
          <w:bCs/>
          <w:color w:val="auto"/>
          <w:highlight w:val="none"/>
        </w:rPr>
        <w:t>万元，属于</w:t>
      </w:r>
      <w:r>
        <w:rPr>
          <w:rFonts w:hint="eastAsia"/>
          <w:b w:val="0"/>
          <w:bCs/>
          <w:color w:val="auto"/>
          <w:highlight w:val="none"/>
          <w:u w:val="single"/>
        </w:rPr>
        <w:t>(中型企业、小型企业、微型企业)</w:t>
      </w:r>
      <w:r>
        <w:rPr>
          <w:rFonts w:hint="eastAsia"/>
          <w:b w:val="0"/>
          <w:bCs/>
          <w:color w:val="auto"/>
          <w:highlight w:val="none"/>
          <w:u w:val="single"/>
          <w:lang w:eastAsia="zh-CN"/>
        </w:rPr>
        <w:t>。</w:t>
      </w:r>
    </w:p>
    <w:p>
      <w:pPr>
        <w:pStyle w:val="49"/>
        <w:spacing w:line="520" w:lineRule="exact"/>
        <w:rPr>
          <w:b w:val="0"/>
          <w:bCs/>
          <w:color w:val="auto"/>
          <w:highlight w:val="none"/>
        </w:rPr>
      </w:pPr>
      <w:r>
        <w:rPr>
          <w:rFonts w:hint="eastAsia"/>
          <w:b w:val="0"/>
          <w:bCs/>
          <w:color w:val="auto"/>
          <w:highlight w:val="none"/>
        </w:rPr>
        <w:t>以上企业，不属于大企业的分支机构，不存在控股股东为大企业的情形，也不存在与大企业的负责人为同一人的情形。</w:t>
      </w:r>
    </w:p>
    <w:p>
      <w:pPr>
        <w:pStyle w:val="49"/>
        <w:spacing w:line="520" w:lineRule="exact"/>
        <w:rPr>
          <w:b w:val="0"/>
          <w:bCs/>
          <w:color w:val="auto"/>
          <w:highlight w:val="none"/>
        </w:rPr>
      </w:pPr>
      <w:r>
        <w:rPr>
          <w:rFonts w:hint="eastAsia"/>
          <w:b w:val="0"/>
          <w:bCs/>
          <w:color w:val="auto"/>
          <w:highlight w:val="none"/>
        </w:rPr>
        <w:t>本企业对上述声明内容的真实性负责。如有虚假，将依法承担相应责任。</w:t>
      </w:r>
    </w:p>
    <w:p>
      <w:pPr>
        <w:pStyle w:val="44"/>
        <w:spacing w:line="520" w:lineRule="exact"/>
        <w:rPr>
          <w:color w:val="auto"/>
          <w:highlight w:val="none"/>
        </w:rPr>
      </w:pPr>
    </w:p>
    <w:p>
      <w:pPr>
        <w:pStyle w:val="44"/>
        <w:spacing w:line="520" w:lineRule="exact"/>
        <w:ind w:left="4800" w:leftChars="2000"/>
        <w:rPr>
          <w:color w:val="auto"/>
          <w:highlight w:val="none"/>
        </w:rPr>
      </w:pPr>
      <w:r>
        <w:rPr>
          <w:rFonts w:hint="eastAsia"/>
          <w:color w:val="auto"/>
          <w:highlight w:val="none"/>
        </w:rPr>
        <w:t>企业名称(盖章)：</w:t>
      </w:r>
      <w:r>
        <w:rPr>
          <w:rFonts w:hint="eastAsia"/>
          <w:color w:val="auto"/>
          <w:highlight w:val="none"/>
          <w:u w:val="single"/>
        </w:rPr>
        <w:t xml:space="preserve">        </w:t>
      </w:r>
    </w:p>
    <w:p>
      <w:pPr>
        <w:pStyle w:val="44"/>
        <w:spacing w:line="520" w:lineRule="exact"/>
        <w:ind w:left="4800" w:leftChars="2000"/>
        <w:rPr>
          <w:color w:val="auto"/>
          <w:highlight w:val="none"/>
        </w:rPr>
      </w:pPr>
      <w:r>
        <w:rPr>
          <w:rFonts w:hint="eastAsia"/>
          <w:color w:val="auto"/>
          <w:highlight w:val="none"/>
        </w:rPr>
        <w:t>日期：</w:t>
      </w:r>
      <w:r>
        <w:rPr>
          <w:rFonts w:hint="eastAsia"/>
          <w:color w:val="auto"/>
          <w:highlight w:val="none"/>
          <w:u w:val="single"/>
        </w:rPr>
        <w:t xml:space="preserve">        </w:t>
      </w:r>
      <w:r>
        <w:rPr>
          <w:rFonts w:hint="eastAsia"/>
          <w:color w:val="auto"/>
          <w:highlight w:val="none"/>
        </w:rPr>
        <w:t xml:space="preserve">           　</w:t>
      </w:r>
    </w:p>
    <w:p>
      <w:pPr>
        <w:pStyle w:val="49"/>
        <w:spacing w:line="520" w:lineRule="exact"/>
        <w:ind w:firstLine="482"/>
        <w:rPr>
          <w:color w:val="auto"/>
          <w:highlight w:val="none"/>
        </w:rPr>
      </w:pPr>
    </w:p>
    <w:p>
      <w:pPr>
        <w:pStyle w:val="49"/>
        <w:spacing w:line="520" w:lineRule="exact"/>
        <w:ind w:firstLine="482"/>
        <w:rPr>
          <w:color w:val="auto"/>
          <w:highlight w:val="none"/>
        </w:rPr>
      </w:pPr>
      <w:r>
        <w:rPr>
          <w:rFonts w:hint="eastAsia"/>
          <w:color w:val="auto"/>
          <w:highlight w:val="none"/>
        </w:rPr>
        <w:t>注：从业人员、营业收入、资产总额填报上一年度数据，无上一年度数据的新成立企业可不填报。</w:t>
      </w:r>
      <w:r>
        <w:rPr>
          <w:rFonts w:hint="eastAsia"/>
          <w:color w:val="auto"/>
          <w:highlight w:val="none"/>
        </w:rPr>
        <w:br w:type="page"/>
      </w:r>
    </w:p>
    <w:p>
      <w:pPr>
        <w:pStyle w:val="46"/>
        <w:spacing w:before="120" w:after="120"/>
        <w:outlineLvl w:val="3"/>
        <w:rPr>
          <w:color w:val="auto"/>
          <w:highlight w:val="none"/>
        </w:rPr>
      </w:pPr>
      <w:bookmarkStart w:id="1019" w:name="_Toc11278"/>
      <w:bookmarkStart w:id="1020" w:name="_Toc30256"/>
      <w:bookmarkStart w:id="1021" w:name="_Toc27327"/>
      <w:bookmarkStart w:id="1022" w:name="_Toc26771"/>
      <w:bookmarkStart w:id="1023" w:name="_Toc30138"/>
      <w:r>
        <w:rPr>
          <w:rFonts w:hint="eastAsia"/>
          <w:color w:val="auto"/>
          <w:highlight w:val="none"/>
        </w:rPr>
        <w:t>(二)监狱企业相关证明材料</w:t>
      </w:r>
      <w:bookmarkEnd w:id="1013"/>
      <w:r>
        <w:rPr>
          <w:rFonts w:hint="eastAsia"/>
          <w:color w:val="auto"/>
          <w:highlight w:val="none"/>
        </w:rPr>
        <w:t>(如涉及</w:t>
      </w:r>
      <w:bookmarkEnd w:id="1019"/>
      <w:r>
        <w:rPr>
          <w:rFonts w:hint="eastAsia"/>
          <w:color w:val="auto"/>
          <w:highlight w:val="none"/>
        </w:rPr>
        <w:t>)</w:t>
      </w:r>
      <w:bookmarkEnd w:id="1020"/>
      <w:bookmarkEnd w:id="1021"/>
      <w:bookmarkEnd w:id="1022"/>
      <w:bookmarkEnd w:id="1023"/>
    </w:p>
    <w:p>
      <w:pPr>
        <w:pStyle w:val="49"/>
        <w:spacing w:line="520" w:lineRule="exact"/>
        <w:ind w:firstLine="482"/>
        <w:rPr>
          <w:color w:val="auto"/>
          <w:highlight w:val="none"/>
        </w:rPr>
      </w:pPr>
      <w:r>
        <w:rPr>
          <w:rFonts w:hint="eastAsia"/>
          <w:color w:val="auto"/>
          <w:highlight w:val="none"/>
        </w:rPr>
        <w:t>说明：①投标产品制造厂商为监狱企业的，应当提供由省级以上监狱管理局、戒毒管理局(含新疆生产建设兵团)出具的属于监狱企业的证明文件。</w:t>
      </w:r>
    </w:p>
    <w:p>
      <w:pPr>
        <w:pStyle w:val="49"/>
        <w:spacing w:line="520" w:lineRule="exact"/>
        <w:ind w:firstLine="482"/>
        <w:rPr>
          <w:color w:val="auto"/>
          <w:highlight w:val="none"/>
        </w:rPr>
      </w:pPr>
      <w:r>
        <w:rPr>
          <w:rFonts w:hint="eastAsia"/>
          <w:color w:val="auto"/>
          <w:highlight w:val="none"/>
        </w:rPr>
        <w:t>②如未提供监狱企业相关证明材料的，则其评审中的监狱企业不能享受招标文件规定的价格扣除，但不影响投标文件的有效性。</w:t>
      </w:r>
    </w:p>
    <w:p>
      <w:pPr>
        <w:pStyle w:val="49"/>
        <w:spacing w:line="520" w:lineRule="exact"/>
        <w:ind w:firstLine="482"/>
        <w:rPr>
          <w:color w:val="auto"/>
          <w:highlight w:val="none"/>
        </w:rPr>
      </w:pPr>
      <w:r>
        <w:rPr>
          <w:rFonts w:hint="eastAsia"/>
          <w:color w:val="auto"/>
          <w:highlight w:val="none"/>
        </w:rPr>
        <w:t>③非监狱企业无需提供证明材料。</w:t>
      </w:r>
    </w:p>
    <w:p>
      <w:pPr>
        <w:pStyle w:val="44"/>
        <w:rPr>
          <w:color w:val="auto"/>
          <w:highlight w:val="none"/>
        </w:rPr>
      </w:pPr>
      <w:r>
        <w:rPr>
          <w:rFonts w:hint="eastAsia"/>
          <w:color w:val="auto"/>
          <w:highlight w:val="none"/>
        </w:rPr>
        <w:br w:type="page"/>
      </w:r>
    </w:p>
    <w:p>
      <w:pPr>
        <w:pStyle w:val="46"/>
        <w:spacing w:before="120" w:after="120"/>
        <w:outlineLvl w:val="3"/>
        <w:rPr>
          <w:color w:val="auto"/>
          <w:highlight w:val="none"/>
        </w:rPr>
      </w:pPr>
      <w:bookmarkStart w:id="1024" w:name="_Toc7140"/>
      <w:bookmarkStart w:id="1025" w:name="_Toc12336"/>
      <w:bookmarkStart w:id="1026" w:name="_Toc3996"/>
      <w:bookmarkStart w:id="1027" w:name="_Toc30301"/>
      <w:bookmarkStart w:id="1028" w:name="_Toc27384"/>
      <w:r>
        <w:rPr>
          <w:rFonts w:hint="eastAsia"/>
          <w:color w:val="auto"/>
          <w:highlight w:val="none"/>
        </w:rPr>
        <w:t>(三)残疾人福利性单位声明函(如涉及</w:t>
      </w:r>
      <w:bookmarkEnd w:id="1024"/>
      <w:r>
        <w:rPr>
          <w:rFonts w:hint="eastAsia"/>
          <w:color w:val="auto"/>
          <w:highlight w:val="none"/>
        </w:rPr>
        <w:t>)</w:t>
      </w:r>
      <w:bookmarkEnd w:id="1025"/>
      <w:bookmarkEnd w:id="1026"/>
      <w:bookmarkEnd w:id="1027"/>
      <w:bookmarkEnd w:id="1028"/>
    </w:p>
    <w:p>
      <w:pPr>
        <w:pStyle w:val="48"/>
        <w:spacing w:line="520" w:lineRule="exact"/>
        <w:rPr>
          <w:color w:val="auto"/>
          <w:highlight w:val="none"/>
        </w:rPr>
      </w:pPr>
      <w:r>
        <w:rPr>
          <w:rFonts w:hint="eastAsia"/>
          <w:color w:val="auto"/>
          <w:highlight w:val="none"/>
        </w:rPr>
        <w:t>本单位郑重声明，</w:t>
      </w:r>
      <w:r>
        <w:rPr>
          <w:rFonts w:hint="eastAsia"/>
          <w:color w:val="auto"/>
          <w:highlight w:val="none"/>
          <w:lang w:val="en-US" w:eastAsia="zh-CN"/>
        </w:rPr>
        <w:t>参照</w:t>
      </w:r>
      <w:r>
        <w:rPr>
          <w:rFonts w:hint="eastAsia"/>
          <w:color w:val="auto"/>
          <w:highlight w:val="none"/>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单位的</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项目采购活动提供本单位制造的货物，或者提供其他残疾人福利性单位制造的货物(不包括使用非残疾人福利性单位注册商标的货物)。</w:t>
      </w:r>
    </w:p>
    <w:p>
      <w:pPr>
        <w:pStyle w:val="48"/>
        <w:spacing w:line="520" w:lineRule="exact"/>
        <w:rPr>
          <w:color w:val="auto"/>
          <w:highlight w:val="none"/>
        </w:rPr>
      </w:pPr>
      <w:r>
        <w:rPr>
          <w:rFonts w:hint="eastAsia"/>
          <w:color w:val="auto"/>
          <w:highlight w:val="none"/>
        </w:rPr>
        <w:t>本单位对上述声明的真实性负责。如有虚假，将依法承担相应责任。</w:t>
      </w:r>
    </w:p>
    <w:p>
      <w:pPr>
        <w:pStyle w:val="44"/>
        <w:spacing w:line="520" w:lineRule="exact"/>
        <w:rPr>
          <w:color w:val="auto"/>
          <w:highlight w:val="none"/>
        </w:rPr>
      </w:pPr>
    </w:p>
    <w:p>
      <w:pPr>
        <w:pStyle w:val="44"/>
        <w:spacing w:line="520" w:lineRule="exact"/>
        <w:rPr>
          <w:color w:val="auto"/>
          <w:highlight w:val="none"/>
        </w:rPr>
      </w:pPr>
    </w:p>
    <w:p>
      <w:pPr>
        <w:pStyle w:val="44"/>
        <w:spacing w:line="520" w:lineRule="exact"/>
        <w:rPr>
          <w:color w:val="auto"/>
          <w:highlight w:val="none"/>
        </w:rPr>
      </w:pPr>
    </w:p>
    <w:p>
      <w:pPr>
        <w:pStyle w:val="44"/>
        <w:spacing w:line="520" w:lineRule="exact"/>
        <w:ind w:left="4800" w:leftChars="2000"/>
        <w:rPr>
          <w:color w:val="auto"/>
          <w:highlight w:val="none"/>
        </w:rPr>
      </w:pPr>
      <w:r>
        <w:rPr>
          <w:rFonts w:hint="eastAsia"/>
          <w:color w:val="auto"/>
          <w:highlight w:val="none"/>
        </w:rPr>
        <w:t>单位名称：</w:t>
      </w:r>
      <w:r>
        <w:rPr>
          <w:rFonts w:hint="eastAsia"/>
          <w:color w:val="auto"/>
          <w:highlight w:val="none"/>
          <w:u w:val="single"/>
        </w:rPr>
        <w:t xml:space="preserve">             </w:t>
      </w:r>
      <w:r>
        <w:rPr>
          <w:rFonts w:hint="eastAsia"/>
          <w:color w:val="auto"/>
          <w:highlight w:val="none"/>
        </w:rPr>
        <w:t xml:space="preserve"> (盖章)</w:t>
      </w:r>
    </w:p>
    <w:p>
      <w:pPr>
        <w:pStyle w:val="44"/>
        <w:spacing w:line="520" w:lineRule="exact"/>
        <w:ind w:left="4800" w:leftChars="2000"/>
        <w:rPr>
          <w:color w:val="auto"/>
          <w:highlight w:val="none"/>
        </w:rPr>
      </w:pPr>
      <w:r>
        <w:rPr>
          <w:rFonts w:hint="eastAsia"/>
          <w:color w:val="auto"/>
          <w:highlight w:val="none"/>
        </w:rPr>
        <w:t>日    期：</w:t>
      </w:r>
      <w:r>
        <w:rPr>
          <w:rFonts w:hint="eastAsia"/>
          <w:color w:val="auto"/>
          <w:highlight w:val="none"/>
          <w:u w:val="single"/>
        </w:rPr>
        <w:t xml:space="preserve">             </w:t>
      </w:r>
      <w:r>
        <w:rPr>
          <w:rFonts w:hint="eastAsia"/>
          <w:color w:val="auto"/>
          <w:highlight w:val="none"/>
        </w:rPr>
        <w:t xml:space="preserve">   </w:t>
      </w:r>
      <w:bookmarkEnd w:id="1014"/>
      <w:bookmarkEnd w:id="1015"/>
      <w:bookmarkEnd w:id="1016"/>
      <w:bookmarkEnd w:id="1017"/>
      <w:bookmarkEnd w:id="1018"/>
    </w:p>
    <w:p>
      <w:pPr>
        <w:pStyle w:val="49"/>
        <w:spacing w:line="520" w:lineRule="exact"/>
        <w:ind w:firstLine="482"/>
        <w:rPr>
          <w:color w:val="auto"/>
          <w:highlight w:val="none"/>
        </w:rPr>
      </w:pPr>
    </w:p>
    <w:p>
      <w:pPr>
        <w:pStyle w:val="49"/>
        <w:spacing w:line="520" w:lineRule="exact"/>
        <w:ind w:firstLine="482"/>
        <w:rPr>
          <w:color w:val="auto"/>
          <w:highlight w:val="none"/>
        </w:rPr>
      </w:pPr>
    </w:p>
    <w:p>
      <w:pPr>
        <w:pStyle w:val="49"/>
        <w:spacing w:line="520" w:lineRule="exact"/>
        <w:ind w:firstLine="482"/>
        <w:rPr>
          <w:color w:val="auto"/>
          <w:highlight w:val="none"/>
        </w:rPr>
      </w:pPr>
      <w:r>
        <w:rPr>
          <w:rFonts w:hint="eastAsia"/>
          <w:color w:val="auto"/>
          <w:highlight w:val="none"/>
        </w:rPr>
        <w:t>说明：</w:t>
      </w:r>
      <w:r>
        <w:rPr>
          <w:rFonts w:hint="eastAsia"/>
          <w:color w:val="auto"/>
          <w:highlight w:val="none"/>
        </w:rPr>
        <w:fldChar w:fldCharType="begin"/>
      </w:r>
      <w:r>
        <w:rPr>
          <w:rFonts w:hint="eastAsia"/>
          <w:color w:val="auto"/>
          <w:highlight w:val="none"/>
        </w:rPr>
        <w:instrText xml:space="preserve"> = 1 \* GB3 \* MERGEFORMAT </w:instrText>
      </w:r>
      <w:r>
        <w:rPr>
          <w:rFonts w:hint="eastAsia"/>
          <w:color w:val="auto"/>
          <w:highlight w:val="none"/>
        </w:rPr>
        <w:fldChar w:fldCharType="separate"/>
      </w:r>
      <w:r>
        <w:rPr>
          <w:rFonts w:hint="eastAsia"/>
          <w:color w:val="auto"/>
          <w:highlight w:val="none"/>
        </w:rPr>
        <w:t>①</w:t>
      </w:r>
      <w:r>
        <w:rPr>
          <w:rFonts w:hint="eastAsia"/>
          <w:color w:val="auto"/>
          <w:highlight w:val="none"/>
        </w:rPr>
        <w:fldChar w:fldCharType="end"/>
      </w:r>
      <w:r>
        <w:rPr>
          <w:rFonts w:hint="eastAsia"/>
          <w:color w:val="auto"/>
          <w:highlight w:val="none"/>
        </w:rPr>
        <w:t>投标产品制造厂商为残疾人福利性单位的，需提供残疾人福利性单位声明函，否则其评审中的残疾人福利性单位不能享受招标文件规定的价格扣除。非残疾人福利性单位，不需提供此声明函，不影响投标文件的有效性。</w:t>
      </w:r>
    </w:p>
    <w:p>
      <w:pPr>
        <w:pStyle w:val="49"/>
        <w:spacing w:line="520" w:lineRule="exact"/>
        <w:ind w:firstLine="482"/>
        <w:rPr>
          <w:color w:val="auto"/>
          <w:highlight w:val="none"/>
        </w:rPr>
      </w:pPr>
      <w:r>
        <w:rPr>
          <w:rFonts w:hint="eastAsia"/>
          <w:color w:val="auto"/>
          <w:highlight w:val="none"/>
        </w:rPr>
        <w:fldChar w:fldCharType="begin"/>
      </w:r>
      <w:r>
        <w:rPr>
          <w:rFonts w:hint="eastAsia"/>
          <w:color w:val="auto"/>
          <w:highlight w:val="none"/>
        </w:rPr>
        <w:instrText xml:space="preserve"> = 2 \* GB3 \* MERGEFORMAT </w:instrText>
      </w:r>
      <w:r>
        <w:rPr>
          <w:rFonts w:hint="eastAsia"/>
          <w:color w:val="auto"/>
          <w:highlight w:val="none"/>
        </w:rPr>
        <w:fldChar w:fldCharType="separate"/>
      </w:r>
      <w:r>
        <w:rPr>
          <w:rFonts w:hint="eastAsia"/>
          <w:color w:val="auto"/>
          <w:highlight w:val="none"/>
        </w:rPr>
        <w:t>②</w:t>
      </w:r>
      <w:r>
        <w:rPr>
          <w:rFonts w:hint="eastAsia"/>
          <w:color w:val="auto"/>
          <w:highlight w:val="none"/>
        </w:rPr>
        <w:fldChar w:fldCharType="end"/>
      </w:r>
      <w:r>
        <w:rPr>
          <w:rFonts w:hint="eastAsia"/>
          <w:color w:val="auto"/>
          <w:highlight w:val="none"/>
        </w:rPr>
        <w:t>投标人参加</w:t>
      </w:r>
      <w:r>
        <w:rPr>
          <w:rFonts w:hint="eastAsia"/>
          <w:color w:val="auto"/>
          <w:highlight w:val="none"/>
          <w:lang w:eastAsia="zh-CN"/>
        </w:rPr>
        <w:t>采购</w:t>
      </w:r>
      <w:r>
        <w:rPr>
          <w:rFonts w:hint="eastAsia"/>
          <w:color w:val="auto"/>
          <w:highlight w:val="none"/>
        </w:rPr>
        <w:t>活动时，提供虚假残疾人福利性单位声明函的，以提供虚假材料谋取中标处理。</w:t>
      </w:r>
    </w:p>
    <w:p>
      <w:pPr>
        <w:pStyle w:val="44"/>
        <w:ind w:left="4800" w:leftChars="2000"/>
        <w:rPr>
          <w:color w:val="auto"/>
          <w:highlight w:val="none"/>
        </w:rPr>
      </w:pPr>
    </w:p>
    <w:p>
      <w:pPr>
        <w:pStyle w:val="46"/>
        <w:numPr>
          <w:ilvl w:val="0"/>
          <w:numId w:val="26"/>
        </w:numPr>
        <w:spacing w:before="120" w:after="120"/>
        <w:ind w:firstLine="0"/>
        <w:rPr>
          <w:color w:val="auto"/>
          <w:highlight w:val="none"/>
        </w:rPr>
      </w:pPr>
      <w:bookmarkStart w:id="1029" w:name="_Toc12958"/>
      <w:bookmarkStart w:id="1030" w:name="_Toc16092"/>
      <w:bookmarkStart w:id="1031" w:name="_Toc20002"/>
      <w:bookmarkStart w:id="1032" w:name="_Toc18663"/>
      <w:bookmarkStart w:id="1033" w:name="_Toc881"/>
      <w:bookmarkStart w:id="1034" w:name="_Toc18724"/>
      <w:r>
        <w:rPr>
          <w:rFonts w:hint="eastAsia"/>
          <w:color w:val="auto"/>
          <w:highlight w:val="none"/>
          <w:lang w:val="en-US" w:eastAsia="zh-CN"/>
        </w:rPr>
        <w:t>项目实施</w:t>
      </w:r>
      <w:r>
        <w:rPr>
          <w:rFonts w:hint="eastAsia"/>
          <w:color w:val="auto"/>
          <w:highlight w:val="none"/>
        </w:rPr>
        <w:t>方案</w:t>
      </w:r>
      <w:bookmarkEnd w:id="1029"/>
      <w:bookmarkEnd w:id="1030"/>
      <w:bookmarkEnd w:id="1031"/>
      <w:bookmarkEnd w:id="1032"/>
    </w:p>
    <w:p>
      <w:pPr>
        <w:pStyle w:val="49"/>
        <w:ind w:firstLine="482"/>
        <w:rPr>
          <w:color w:val="auto"/>
          <w:highlight w:val="none"/>
        </w:rPr>
      </w:pPr>
      <w:r>
        <w:rPr>
          <w:rFonts w:hint="eastAsia"/>
          <w:color w:val="auto"/>
          <w:highlight w:val="none"/>
        </w:rPr>
        <w:t>注：格式自拟。</w:t>
      </w:r>
    </w:p>
    <w:p>
      <w:pPr>
        <w:rPr>
          <w:b/>
          <w:snapToGrid w:val="0"/>
          <w:color w:val="auto"/>
          <w:sz w:val="28"/>
          <w:highlight w:val="none"/>
        </w:rPr>
      </w:pPr>
      <w:bookmarkStart w:id="1035" w:name="_Toc32188"/>
      <w:r>
        <w:rPr>
          <w:rFonts w:hint="eastAsia"/>
          <w:b/>
          <w:snapToGrid w:val="0"/>
          <w:color w:val="auto"/>
          <w:sz w:val="28"/>
          <w:highlight w:val="none"/>
        </w:rPr>
        <w:br w:type="page"/>
      </w:r>
    </w:p>
    <w:p>
      <w:pPr>
        <w:pStyle w:val="46"/>
        <w:numPr>
          <w:ilvl w:val="0"/>
          <w:numId w:val="26"/>
        </w:numPr>
        <w:spacing w:before="120" w:after="120"/>
        <w:ind w:firstLine="0"/>
        <w:rPr>
          <w:color w:val="auto"/>
          <w:highlight w:val="none"/>
        </w:rPr>
      </w:pPr>
      <w:bookmarkStart w:id="1036" w:name="_Toc28308"/>
      <w:bookmarkStart w:id="1037" w:name="_Toc7955"/>
      <w:r>
        <w:rPr>
          <w:rFonts w:hint="eastAsia"/>
          <w:color w:val="auto"/>
          <w:highlight w:val="none"/>
        </w:rPr>
        <w:t>商品包装、快递包装承诺函(如涉及)</w:t>
      </w:r>
      <w:bookmarkEnd w:id="1036"/>
      <w:bookmarkEnd w:id="1037"/>
    </w:p>
    <w:p>
      <w:pPr>
        <w:rPr>
          <w:color w:val="auto"/>
          <w:highlight w:val="none"/>
        </w:rPr>
      </w:pPr>
      <w:r>
        <w:rPr>
          <w:rFonts w:hint="eastAsia"/>
          <w:color w:val="auto"/>
          <w:highlight w:val="none"/>
        </w:rPr>
        <w:t>四川乾新招投标代理有限公司：</w:t>
      </w:r>
    </w:p>
    <w:p>
      <w:pPr>
        <w:spacing w:line="520" w:lineRule="exact"/>
        <w:ind w:firstLine="480" w:firstLineChars="200"/>
        <w:rPr>
          <w:color w:val="auto"/>
          <w:highlight w:val="none"/>
        </w:rPr>
      </w:pPr>
      <w:r>
        <w:rPr>
          <w:rFonts w:hint="eastAsia"/>
          <w:color w:val="auto"/>
          <w:highlight w:val="none"/>
        </w:rPr>
        <w:t>我公司作为本次采购项目的投标人，根据招标文件要求，现郑重承诺如下：</w:t>
      </w:r>
    </w:p>
    <w:p>
      <w:pPr>
        <w:spacing w:line="520" w:lineRule="exact"/>
        <w:ind w:firstLine="480" w:firstLineChars="200"/>
        <w:rPr>
          <w:color w:val="auto"/>
          <w:highlight w:val="none"/>
        </w:rPr>
      </w:pPr>
      <w:r>
        <w:rPr>
          <w:rFonts w:hint="eastAsia"/>
          <w:color w:val="auto"/>
          <w:highlight w:val="none"/>
        </w:rPr>
        <w:t>我方承诺，</w:t>
      </w:r>
      <w:r>
        <w:rPr>
          <w:rFonts w:hint="eastAsia"/>
          <w:color w:val="auto"/>
          <w:highlight w:val="none"/>
          <w:lang w:val="en-US" w:eastAsia="zh-CN"/>
        </w:rPr>
        <w:t>参照</w:t>
      </w:r>
      <w:r>
        <w:rPr>
          <w:rFonts w:hint="eastAsia"/>
          <w:color w:val="auto"/>
          <w:highlight w:val="none"/>
        </w:rPr>
        <w:t>财政部等三部门联合印发商品包装和快递包装政府采购需求标准(试行)(财库办〔2020〕123号)要求，若我方提供的货物、服务、工程涉及商品包装和快递包装的，将按照标准要求执行。</w:t>
      </w:r>
    </w:p>
    <w:p>
      <w:pPr>
        <w:spacing w:line="520" w:lineRule="exact"/>
        <w:ind w:firstLine="480" w:firstLineChars="200"/>
        <w:rPr>
          <w:color w:val="auto"/>
          <w:highlight w:val="none"/>
        </w:rPr>
      </w:pPr>
      <w:r>
        <w:rPr>
          <w:rFonts w:hint="eastAsia"/>
          <w:color w:val="auto"/>
          <w:highlight w:val="none"/>
        </w:rPr>
        <w:t>本公司对上述承诺的内容事项真实性负责。如经查实上述承诺的内容事项存在虚假，我公司愿意接受以提供虚假材料谋取中标追究法律责任。</w:t>
      </w:r>
    </w:p>
    <w:p>
      <w:pPr>
        <w:spacing w:line="520" w:lineRule="exact"/>
        <w:ind w:firstLine="480" w:firstLineChars="200"/>
        <w:rPr>
          <w:color w:val="auto"/>
          <w:highlight w:val="none"/>
        </w:rPr>
      </w:pPr>
      <w:r>
        <w:rPr>
          <w:rFonts w:hint="eastAsia"/>
          <w:color w:val="auto"/>
          <w:highlight w:val="none"/>
        </w:rPr>
        <w:t>注：《商品包装政府采购需求标准(试行)》、《快递包装政府采购需求标准(试行)》的标准详见中国政府采购网。</w:t>
      </w:r>
    </w:p>
    <w:p>
      <w:pPr>
        <w:spacing w:line="520" w:lineRule="exact"/>
        <w:rPr>
          <w:color w:val="auto"/>
          <w:highlight w:val="none"/>
        </w:rPr>
      </w:pPr>
      <w:r>
        <w:rPr>
          <w:rFonts w:hint="eastAsia"/>
          <w:color w:val="auto"/>
          <w:highlight w:val="none"/>
        </w:rPr>
        <w:t> </w:t>
      </w:r>
    </w:p>
    <w:p>
      <w:pPr>
        <w:pStyle w:val="48"/>
        <w:spacing w:line="520" w:lineRule="exact"/>
        <w:rPr>
          <w:color w:val="auto"/>
          <w:highlight w:val="none"/>
        </w:rPr>
      </w:pPr>
      <w:r>
        <w:rPr>
          <w:rFonts w:hint="eastAsia"/>
          <w:color w:val="auto"/>
          <w:highlight w:val="none"/>
        </w:rPr>
        <w:t>投标人名称：</w:t>
      </w:r>
      <w:r>
        <w:rPr>
          <w:rFonts w:hint="eastAsia"/>
          <w:color w:val="auto"/>
          <w:highlight w:val="none"/>
          <w:u w:val="single"/>
        </w:rPr>
        <w:t xml:space="preserve">               </w:t>
      </w:r>
      <w:r>
        <w:rPr>
          <w:rFonts w:hint="eastAsia"/>
          <w:color w:val="auto"/>
          <w:highlight w:val="none"/>
        </w:rPr>
        <w:t>(盖章)</w:t>
      </w:r>
    </w:p>
    <w:p>
      <w:pPr>
        <w:pStyle w:val="48"/>
        <w:spacing w:line="520" w:lineRule="exact"/>
        <w:rPr>
          <w:color w:val="auto"/>
          <w:highlight w:val="none"/>
        </w:rPr>
      </w:pPr>
      <w:r>
        <w:rPr>
          <w:rFonts w:hint="eastAsia"/>
          <w:color w:val="auto"/>
          <w:highlight w:val="none"/>
        </w:rPr>
        <w:t>法定代表人/单位负责人或授权代表：</w:t>
      </w:r>
      <w:r>
        <w:rPr>
          <w:rFonts w:hint="eastAsia"/>
          <w:color w:val="auto"/>
          <w:highlight w:val="none"/>
          <w:u w:val="single"/>
        </w:rPr>
        <w:t xml:space="preserve">            </w:t>
      </w:r>
      <w:r>
        <w:rPr>
          <w:rFonts w:hint="eastAsia"/>
          <w:color w:val="auto"/>
          <w:highlight w:val="none"/>
        </w:rPr>
        <w:t>(签字或盖章)</w:t>
      </w:r>
    </w:p>
    <w:p>
      <w:pPr>
        <w:pStyle w:val="48"/>
        <w:spacing w:line="520" w:lineRule="exact"/>
        <w:rPr>
          <w:color w:val="auto"/>
          <w:highlight w:val="none"/>
        </w:rPr>
      </w:pPr>
      <w:r>
        <w:rPr>
          <w:rFonts w:hint="eastAsia"/>
          <w:color w:val="auto"/>
          <w:highlight w:val="none"/>
        </w:rPr>
        <w:t>投标日期：</w:t>
      </w:r>
      <w:r>
        <w:rPr>
          <w:rFonts w:hint="eastAsia"/>
          <w:color w:val="auto"/>
          <w:highlight w:val="none"/>
          <w:u w:val="single"/>
        </w:rPr>
        <w:t xml:space="preserve">                  </w:t>
      </w:r>
    </w:p>
    <w:p>
      <w:pPr>
        <w:pStyle w:val="46"/>
        <w:numPr>
          <w:ilvl w:val="0"/>
          <w:numId w:val="26"/>
        </w:numPr>
        <w:spacing w:before="120" w:after="120"/>
        <w:ind w:firstLine="0"/>
        <w:rPr>
          <w:color w:val="auto"/>
          <w:highlight w:val="none"/>
        </w:rPr>
      </w:pPr>
      <w:bookmarkStart w:id="1038" w:name="_Toc10348"/>
      <w:bookmarkStart w:id="1039" w:name="_Toc27985"/>
      <w:bookmarkStart w:id="1040" w:name="_Toc8937"/>
      <w:r>
        <w:rPr>
          <w:rFonts w:hint="eastAsia"/>
          <w:color w:val="auto"/>
          <w:highlight w:val="none"/>
          <w:lang w:val="en-US" w:eastAsia="zh-CN"/>
        </w:rPr>
        <w:t>投标人认为应当提供的其他证明材料</w:t>
      </w:r>
      <w:bookmarkEnd w:id="1038"/>
      <w:bookmarkEnd w:id="1039"/>
    </w:p>
    <w:p>
      <w:pPr>
        <w:pStyle w:val="46"/>
        <w:numPr>
          <w:ilvl w:val="0"/>
          <w:numId w:val="26"/>
        </w:numPr>
        <w:spacing w:before="120" w:after="120"/>
        <w:ind w:firstLine="0"/>
        <w:rPr>
          <w:color w:val="auto"/>
          <w:highlight w:val="none"/>
        </w:rPr>
      </w:pPr>
      <w:bookmarkStart w:id="1041" w:name="_Toc13436"/>
      <w:r>
        <w:rPr>
          <w:rFonts w:hint="eastAsia"/>
          <w:color w:val="auto"/>
          <w:highlight w:val="none"/>
        </w:rPr>
        <w:t>招标代理服务费承诺函</w:t>
      </w:r>
      <w:bookmarkEnd w:id="1035"/>
      <w:bookmarkEnd w:id="1040"/>
      <w:bookmarkEnd w:id="1041"/>
    </w:p>
    <w:p>
      <w:pPr>
        <w:pStyle w:val="44"/>
        <w:spacing w:line="520" w:lineRule="exact"/>
        <w:rPr>
          <w:color w:val="auto"/>
          <w:highlight w:val="none"/>
        </w:rPr>
      </w:pPr>
      <w:r>
        <w:rPr>
          <w:rFonts w:hint="eastAsia"/>
          <w:color w:val="auto"/>
          <w:highlight w:val="none"/>
        </w:rPr>
        <w:t>四川乾新招投标代理有限公司：</w:t>
      </w:r>
    </w:p>
    <w:p>
      <w:pPr>
        <w:pStyle w:val="48"/>
        <w:spacing w:line="520" w:lineRule="exact"/>
        <w:rPr>
          <w:b/>
          <w:bCs/>
          <w:color w:val="auto"/>
          <w:highlight w:val="none"/>
        </w:rPr>
      </w:pPr>
      <w:r>
        <w:rPr>
          <w:rFonts w:hint="eastAsia"/>
          <w:color w:val="auto"/>
          <w:highlight w:val="none"/>
        </w:rPr>
        <w:t>我公司在贵公司代理的</w:t>
      </w:r>
      <w:r>
        <w:rPr>
          <w:rFonts w:hint="eastAsia"/>
          <w:color w:val="auto"/>
          <w:highlight w:val="none"/>
          <w:u w:val="single"/>
        </w:rPr>
        <w:t xml:space="preserve">                              </w:t>
      </w:r>
      <w:r>
        <w:rPr>
          <w:rFonts w:hint="eastAsia"/>
          <w:color w:val="auto"/>
          <w:highlight w:val="none"/>
        </w:rPr>
        <w:t>项目(项目编号：</w:t>
      </w:r>
      <w:r>
        <w:rPr>
          <w:rFonts w:hint="eastAsia"/>
          <w:color w:val="auto"/>
          <w:highlight w:val="none"/>
          <w:u w:val="single"/>
        </w:rPr>
        <w:t xml:space="preserve">                              </w:t>
      </w:r>
      <w:r>
        <w:rPr>
          <w:rFonts w:hint="eastAsia"/>
          <w:color w:val="auto"/>
          <w:highlight w:val="none"/>
        </w:rPr>
        <w:t>)公开招标中若获中标，我们承诺在收到中标通知后2个工作日内按</w:t>
      </w:r>
      <w:r>
        <w:rPr>
          <w:rFonts w:hint="eastAsia"/>
          <w:color w:val="auto"/>
          <w:highlight w:val="none"/>
          <w:lang w:val="zh-CN"/>
        </w:rPr>
        <w:t>招标文件</w:t>
      </w:r>
      <w:r>
        <w:rPr>
          <w:rFonts w:hint="eastAsia"/>
          <w:color w:val="auto"/>
          <w:highlight w:val="none"/>
        </w:rPr>
        <w:t>的规定，以支票、银行汇票、电汇、现金或经贵公司认可的一种方式，向贵公司即四川乾新招投标代理有限公司指定的银行账号，按照</w:t>
      </w:r>
      <w:r>
        <w:rPr>
          <w:rFonts w:hint="eastAsia"/>
          <w:color w:val="auto"/>
          <w:highlight w:val="none"/>
          <w:lang w:val="zh-CN"/>
        </w:rPr>
        <w:t>招标文件中</w:t>
      </w:r>
      <w:r>
        <w:rPr>
          <w:rFonts w:hint="eastAsia"/>
          <w:color w:val="auto"/>
          <w:highlight w:val="none"/>
        </w:rPr>
        <w:t>招标代理服务费收取标准一次性支付招标代理服务费。</w:t>
      </w:r>
      <w:r>
        <w:rPr>
          <w:rFonts w:hint="eastAsia"/>
          <w:b/>
          <w:bCs/>
          <w:color w:val="auto"/>
          <w:highlight w:val="none"/>
        </w:rPr>
        <w:t>如因我公司自身原因造成取消中标资格或自愿放弃中标资格的，我司已交纳的招标代理服务费不予退还，由此造成的损失由我方自行承担。</w:t>
      </w:r>
    </w:p>
    <w:p>
      <w:pPr>
        <w:pStyle w:val="48"/>
        <w:spacing w:line="520" w:lineRule="exact"/>
        <w:rPr>
          <w:color w:val="auto"/>
          <w:highlight w:val="none"/>
        </w:rPr>
      </w:pPr>
    </w:p>
    <w:p>
      <w:pPr>
        <w:pStyle w:val="48"/>
        <w:spacing w:line="520" w:lineRule="exact"/>
        <w:rPr>
          <w:color w:val="auto"/>
          <w:highlight w:val="none"/>
        </w:rPr>
      </w:pPr>
    </w:p>
    <w:p>
      <w:pPr>
        <w:pStyle w:val="48"/>
        <w:spacing w:line="520" w:lineRule="exact"/>
        <w:rPr>
          <w:color w:val="auto"/>
          <w:highlight w:val="none"/>
        </w:rPr>
      </w:pPr>
      <w:r>
        <w:rPr>
          <w:rFonts w:hint="eastAsia"/>
          <w:color w:val="auto"/>
          <w:highlight w:val="none"/>
        </w:rPr>
        <w:t>特此承诺。</w:t>
      </w:r>
    </w:p>
    <w:p>
      <w:pPr>
        <w:pStyle w:val="44"/>
        <w:spacing w:line="520" w:lineRule="exact"/>
        <w:rPr>
          <w:color w:val="auto"/>
          <w:highlight w:val="none"/>
        </w:rPr>
      </w:pPr>
    </w:p>
    <w:p>
      <w:pPr>
        <w:pStyle w:val="44"/>
        <w:spacing w:line="520" w:lineRule="exact"/>
        <w:rPr>
          <w:color w:val="auto"/>
          <w:highlight w:val="none"/>
        </w:rPr>
      </w:pPr>
    </w:p>
    <w:p>
      <w:pPr>
        <w:spacing w:line="520" w:lineRule="exact"/>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(盖章)</w:t>
      </w:r>
    </w:p>
    <w:p>
      <w:pPr>
        <w:spacing w:line="520" w:lineRule="exact"/>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  址：</w:t>
      </w:r>
      <w:r>
        <w:rPr>
          <w:rFonts w:hint="eastAsia" w:asciiTheme="minorEastAsia" w:hAnsiTheme="minorEastAsia" w:eastAsiaTheme="minorEastAsia" w:cstheme="minorEastAsia"/>
          <w:bCs/>
          <w:color w:val="auto"/>
          <w:highlight w:val="none"/>
          <w:u w:val="single"/>
        </w:rPr>
        <w:t xml:space="preserve">                </w:t>
      </w:r>
    </w:p>
    <w:p>
      <w:pPr>
        <w:spacing w:line="520" w:lineRule="exact"/>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电  话：</w:t>
      </w:r>
      <w:r>
        <w:rPr>
          <w:rFonts w:hint="eastAsia" w:asciiTheme="minorEastAsia" w:hAnsiTheme="minorEastAsia" w:eastAsiaTheme="minorEastAsia" w:cstheme="minorEastAsia"/>
          <w:bCs/>
          <w:color w:val="auto"/>
          <w:highlight w:val="none"/>
          <w:u w:val="single"/>
        </w:rPr>
        <w:t xml:space="preserve">                </w:t>
      </w:r>
    </w:p>
    <w:p>
      <w:pPr>
        <w:spacing w:line="520" w:lineRule="exact"/>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传  真：</w:t>
      </w:r>
      <w:r>
        <w:rPr>
          <w:rFonts w:hint="eastAsia" w:asciiTheme="minorEastAsia" w:hAnsiTheme="minorEastAsia" w:eastAsiaTheme="minorEastAsia" w:cstheme="minorEastAsia"/>
          <w:bCs/>
          <w:color w:val="auto"/>
          <w:highlight w:val="none"/>
          <w:u w:val="single"/>
        </w:rPr>
        <w:t xml:space="preserve">                </w:t>
      </w:r>
    </w:p>
    <w:p>
      <w:pPr>
        <w:spacing w:line="520" w:lineRule="exact"/>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邮  编：</w:t>
      </w:r>
      <w:r>
        <w:rPr>
          <w:rFonts w:hint="eastAsia" w:asciiTheme="minorEastAsia" w:hAnsiTheme="minorEastAsia" w:eastAsiaTheme="minorEastAsia" w:cstheme="minorEastAsia"/>
          <w:bCs/>
          <w:color w:val="auto"/>
          <w:highlight w:val="none"/>
          <w:u w:val="single"/>
        </w:rPr>
        <w:t xml:space="preserve">                </w:t>
      </w:r>
    </w:p>
    <w:p>
      <w:pPr>
        <w:spacing w:line="520" w:lineRule="exact"/>
        <w:ind w:firstLine="480" w:firstLineChars="200"/>
        <w:rPr>
          <w:color w:val="auto"/>
          <w:highlight w:val="none"/>
        </w:rPr>
      </w:pPr>
      <w:r>
        <w:rPr>
          <w:rFonts w:hint="eastAsia"/>
          <w:color w:val="auto"/>
          <w:highlight w:val="none"/>
        </w:rPr>
        <w:t>法定</w:t>
      </w:r>
      <w:r>
        <w:rPr>
          <w:rFonts w:hint="eastAsia" w:asciiTheme="minorEastAsia" w:hAnsiTheme="minorEastAsia" w:eastAsiaTheme="minorEastAsia" w:cstheme="minorEastAsia"/>
          <w:color w:val="auto"/>
          <w:highlight w:val="none"/>
        </w:rPr>
        <w:t>代表人</w:t>
      </w:r>
      <w:r>
        <w:rPr>
          <w:rFonts w:hint="eastAsia"/>
          <w:color w:val="auto"/>
          <w:highlight w:val="none"/>
        </w:rPr>
        <w:t>/单位负责人或授权代表：</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(签字或盖章)</w:t>
      </w:r>
    </w:p>
    <w:p>
      <w:pPr>
        <w:spacing w:line="520" w:lineRule="exact"/>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承诺日期：</w:t>
      </w:r>
      <w:r>
        <w:rPr>
          <w:rFonts w:hint="eastAsia" w:asciiTheme="minorEastAsia" w:hAnsiTheme="minorEastAsia" w:eastAsiaTheme="minorEastAsia" w:cstheme="minorEastAsia"/>
          <w:bCs/>
          <w:color w:val="auto"/>
          <w:highlight w:val="none"/>
          <w:u w:val="single"/>
        </w:rPr>
        <w:t xml:space="preserve">                </w:t>
      </w:r>
    </w:p>
    <w:p>
      <w:pPr>
        <w:pStyle w:val="44"/>
        <w:rPr>
          <w:color w:val="auto"/>
          <w:highlight w:val="none"/>
        </w:rPr>
      </w:pPr>
      <w:r>
        <w:rPr>
          <w:rFonts w:hint="eastAsia"/>
          <w:color w:val="auto"/>
          <w:highlight w:val="none"/>
        </w:rPr>
        <w:t xml:space="preserve">                </w:t>
      </w:r>
    </w:p>
    <w:p>
      <w:pPr>
        <w:pStyle w:val="44"/>
        <w:rPr>
          <w:color w:val="auto"/>
          <w:highlight w:val="none"/>
        </w:rPr>
      </w:pPr>
    </w:p>
    <w:p>
      <w:pPr>
        <w:pStyle w:val="44"/>
        <w:rPr>
          <w:color w:val="auto"/>
          <w:highlight w:val="none"/>
        </w:rPr>
      </w:pPr>
      <w:r>
        <w:rPr>
          <w:rFonts w:hint="eastAsia"/>
          <w:color w:val="auto"/>
          <w:highlight w:val="none"/>
        </w:rPr>
        <w:br w:type="page"/>
      </w:r>
    </w:p>
    <w:bookmarkEnd w:id="1033"/>
    <w:bookmarkEnd w:id="1034"/>
    <w:p>
      <w:pPr>
        <w:pStyle w:val="50"/>
        <w:numPr>
          <w:ilvl w:val="0"/>
          <w:numId w:val="15"/>
        </w:numPr>
        <w:spacing w:before="120" w:after="120"/>
        <w:rPr>
          <w:color w:val="auto"/>
          <w:w w:val="95"/>
          <w:highlight w:val="none"/>
        </w:rPr>
      </w:pPr>
      <w:bookmarkStart w:id="1042" w:name="_Toc3705"/>
      <w:bookmarkStart w:id="1043" w:name="_Toc17786"/>
      <w:bookmarkStart w:id="1044" w:name="_Toc7366"/>
      <w:bookmarkStart w:id="1045" w:name="_Toc1941"/>
      <w:bookmarkStart w:id="1046" w:name="_Toc23987"/>
      <w:bookmarkStart w:id="1047" w:name="_Toc8502"/>
      <w:bookmarkStart w:id="1048" w:name="_Toc24042"/>
      <w:bookmarkStart w:id="1049" w:name="_Toc10576"/>
      <w:r>
        <w:rPr>
          <w:rFonts w:hint="eastAsia"/>
          <w:color w:val="auto"/>
          <w:w w:val="95"/>
          <w:highlight w:val="none"/>
        </w:rPr>
        <w:t>投标人和投标产品的资格、资质性</w:t>
      </w:r>
      <w:bookmarkStart w:id="1050" w:name="_Toc319439931"/>
      <w:bookmarkStart w:id="1051" w:name="_Toc327196317"/>
      <w:bookmarkStart w:id="1052" w:name="_Toc21759"/>
      <w:bookmarkStart w:id="1053" w:name="_Toc17884"/>
      <w:bookmarkStart w:id="1054" w:name="_Toc307564882"/>
      <w:bookmarkStart w:id="1055" w:name="_Toc307501136"/>
      <w:r>
        <w:rPr>
          <w:rFonts w:hint="eastAsia"/>
          <w:color w:val="auto"/>
          <w:w w:val="95"/>
          <w:highlight w:val="none"/>
        </w:rPr>
        <w:t>及其他类似效力要求</w:t>
      </w:r>
      <w:bookmarkEnd w:id="1042"/>
      <w:bookmarkEnd w:id="1043"/>
      <w:bookmarkEnd w:id="1044"/>
      <w:bookmarkEnd w:id="1045"/>
      <w:bookmarkEnd w:id="1046"/>
      <w:bookmarkEnd w:id="1050"/>
      <w:bookmarkEnd w:id="1051"/>
      <w:bookmarkEnd w:id="1052"/>
      <w:bookmarkEnd w:id="1053"/>
      <w:bookmarkEnd w:id="1054"/>
      <w:bookmarkEnd w:id="1055"/>
    </w:p>
    <w:p>
      <w:pPr>
        <w:pStyle w:val="36"/>
        <w:keepNext w:val="0"/>
        <w:keepLines w:val="0"/>
        <w:pageBreakBefore w:val="0"/>
        <w:widowControl w:val="0"/>
        <w:numPr>
          <w:ilvl w:val="1"/>
          <w:numId w:val="15"/>
        </w:numPr>
        <w:kinsoku/>
        <w:wordWrap w:val="0"/>
        <w:overflowPunct/>
        <w:topLinePunct/>
        <w:autoSpaceDE/>
        <w:autoSpaceDN/>
        <w:bidi w:val="0"/>
        <w:adjustRightInd w:val="0"/>
        <w:snapToGrid w:val="0"/>
        <w:spacing w:line="500" w:lineRule="exact"/>
        <w:ind w:firstLine="482"/>
        <w:textAlignment w:val="auto"/>
        <w:rPr>
          <w:color w:val="auto"/>
          <w:highlight w:val="none"/>
          <w:lang w:val="zh-CN"/>
        </w:rPr>
      </w:pPr>
      <w:bookmarkStart w:id="1056" w:name="_Toc21172"/>
      <w:bookmarkStart w:id="1057" w:name="_Toc30456"/>
      <w:bookmarkStart w:id="1058" w:name="_Toc11909"/>
      <w:r>
        <w:rPr>
          <w:rFonts w:hint="eastAsia"/>
          <w:color w:val="auto"/>
          <w:highlight w:val="none"/>
        </w:rPr>
        <w:t>投标人资格、资质性及其他类似效力要求</w:t>
      </w:r>
      <w:bookmarkEnd w:id="1047"/>
      <w:bookmarkEnd w:id="1048"/>
      <w:bookmarkEnd w:id="1049"/>
      <w:bookmarkEnd w:id="1056"/>
      <w:bookmarkEnd w:id="1057"/>
      <w:bookmarkEnd w:id="1058"/>
    </w:p>
    <w:p>
      <w:pPr>
        <w:pStyle w:val="44"/>
        <w:keepNext w:val="0"/>
        <w:keepLines w:val="0"/>
        <w:pageBreakBefore w:val="0"/>
        <w:widowControl w:val="0"/>
        <w:kinsoku/>
        <w:wordWrap w:val="0"/>
        <w:overflowPunct/>
        <w:topLinePunct/>
        <w:autoSpaceDE/>
        <w:autoSpaceDN/>
        <w:bidi w:val="0"/>
        <w:adjustRightInd w:val="0"/>
        <w:snapToGrid w:val="0"/>
        <w:spacing w:line="500" w:lineRule="exact"/>
        <w:ind w:firstLine="480" w:firstLineChars="200"/>
        <w:textAlignment w:val="auto"/>
        <w:rPr>
          <w:b w:val="0"/>
          <w:bCs w:val="0"/>
          <w:color w:val="auto"/>
          <w:highlight w:val="none"/>
        </w:rPr>
      </w:pPr>
      <w:bookmarkStart w:id="1059" w:name="_Toc3675"/>
      <w:bookmarkStart w:id="1060" w:name="_Toc14656"/>
      <w:bookmarkStart w:id="1061" w:name="_Toc18335"/>
      <w:bookmarkStart w:id="1062" w:name="_Toc5268"/>
      <w:bookmarkStart w:id="1063" w:name="_Toc4824"/>
      <w:r>
        <w:rPr>
          <w:rFonts w:hint="eastAsia"/>
          <w:b w:val="0"/>
          <w:bCs w:val="0"/>
          <w:color w:val="auto"/>
          <w:highlight w:val="none"/>
        </w:rPr>
        <w:t>(一)具有独立承担</w:t>
      </w:r>
      <w:r>
        <w:rPr>
          <w:b w:val="0"/>
          <w:bCs w:val="0"/>
          <w:color w:val="auto"/>
          <w:highlight w:val="none"/>
        </w:rPr>
        <w:fldChar w:fldCharType="begin"/>
      </w:r>
      <w:r>
        <w:rPr>
          <w:b w:val="0"/>
          <w:bCs w:val="0"/>
          <w:color w:val="auto"/>
          <w:highlight w:val="none"/>
        </w:rPr>
        <w:instrText xml:space="preserve"> HYPERLINK "http://www.lawtime.cn/info/minfa/mszeren/" \t "_blank" </w:instrText>
      </w:r>
      <w:r>
        <w:rPr>
          <w:b w:val="0"/>
          <w:bCs w:val="0"/>
          <w:color w:val="auto"/>
          <w:highlight w:val="none"/>
        </w:rPr>
        <w:fldChar w:fldCharType="separate"/>
      </w:r>
      <w:r>
        <w:rPr>
          <w:rFonts w:hint="eastAsia"/>
          <w:b w:val="0"/>
          <w:bCs w:val="0"/>
          <w:color w:val="auto"/>
          <w:highlight w:val="none"/>
        </w:rPr>
        <w:t>民事责任</w:t>
      </w:r>
      <w:r>
        <w:rPr>
          <w:rFonts w:hint="eastAsia"/>
          <w:b w:val="0"/>
          <w:bCs w:val="0"/>
          <w:color w:val="auto"/>
          <w:highlight w:val="none"/>
        </w:rPr>
        <w:fldChar w:fldCharType="end"/>
      </w:r>
      <w:r>
        <w:rPr>
          <w:rFonts w:hint="eastAsia"/>
          <w:b w:val="0"/>
          <w:bCs w:val="0"/>
          <w:color w:val="auto"/>
          <w:highlight w:val="none"/>
        </w:rPr>
        <w:t>的能力；</w:t>
      </w:r>
    </w:p>
    <w:p>
      <w:pPr>
        <w:pStyle w:val="44"/>
        <w:keepNext w:val="0"/>
        <w:keepLines w:val="0"/>
        <w:pageBreakBefore w:val="0"/>
        <w:widowControl w:val="0"/>
        <w:kinsoku/>
        <w:wordWrap w:val="0"/>
        <w:overflowPunct/>
        <w:topLinePunct/>
        <w:autoSpaceDE/>
        <w:autoSpaceDN/>
        <w:bidi w:val="0"/>
        <w:adjustRightInd w:val="0"/>
        <w:snapToGrid w:val="0"/>
        <w:spacing w:line="500" w:lineRule="exact"/>
        <w:ind w:firstLine="480" w:firstLineChars="200"/>
        <w:textAlignment w:val="auto"/>
        <w:rPr>
          <w:b w:val="0"/>
          <w:bCs w:val="0"/>
          <w:color w:val="auto"/>
          <w:highlight w:val="none"/>
        </w:rPr>
      </w:pPr>
      <w:r>
        <w:rPr>
          <w:rFonts w:hint="eastAsia"/>
          <w:b w:val="0"/>
          <w:bCs w:val="0"/>
          <w:color w:val="auto"/>
          <w:highlight w:val="none"/>
        </w:rPr>
        <w:t>(</w:t>
      </w:r>
      <w:r>
        <w:rPr>
          <w:rFonts w:hint="eastAsia"/>
          <w:b w:val="0"/>
          <w:bCs w:val="0"/>
          <w:color w:val="auto"/>
          <w:highlight w:val="none"/>
          <w:lang w:val="en-US" w:eastAsia="zh-CN"/>
        </w:rPr>
        <w:t>二</w:t>
      </w:r>
      <w:r>
        <w:rPr>
          <w:rFonts w:hint="eastAsia"/>
          <w:b w:val="0"/>
          <w:bCs w:val="0"/>
          <w:color w:val="auto"/>
          <w:highlight w:val="none"/>
        </w:rPr>
        <w:t>)具有良好的商业信誉和健全的财务会计制度；</w:t>
      </w:r>
    </w:p>
    <w:p>
      <w:pPr>
        <w:pStyle w:val="44"/>
        <w:keepNext w:val="0"/>
        <w:keepLines w:val="0"/>
        <w:pageBreakBefore w:val="0"/>
        <w:widowControl w:val="0"/>
        <w:kinsoku/>
        <w:wordWrap w:val="0"/>
        <w:overflowPunct/>
        <w:topLinePunct/>
        <w:autoSpaceDE/>
        <w:autoSpaceDN/>
        <w:bidi w:val="0"/>
        <w:adjustRightInd w:val="0"/>
        <w:snapToGrid w:val="0"/>
        <w:spacing w:line="500" w:lineRule="exact"/>
        <w:ind w:firstLine="480" w:firstLineChars="200"/>
        <w:textAlignment w:val="auto"/>
        <w:rPr>
          <w:b w:val="0"/>
          <w:bCs w:val="0"/>
          <w:color w:val="auto"/>
          <w:highlight w:val="none"/>
        </w:rPr>
      </w:pPr>
      <w:r>
        <w:rPr>
          <w:rFonts w:hint="eastAsia"/>
          <w:b w:val="0"/>
          <w:bCs w:val="0"/>
          <w:color w:val="auto"/>
          <w:highlight w:val="none"/>
        </w:rPr>
        <w:t>(</w:t>
      </w:r>
      <w:r>
        <w:rPr>
          <w:rFonts w:hint="eastAsia"/>
          <w:b w:val="0"/>
          <w:bCs w:val="0"/>
          <w:color w:val="auto"/>
          <w:highlight w:val="none"/>
          <w:lang w:val="en-US" w:eastAsia="zh-CN"/>
        </w:rPr>
        <w:t>三</w:t>
      </w:r>
      <w:r>
        <w:rPr>
          <w:rFonts w:hint="eastAsia"/>
          <w:b w:val="0"/>
          <w:bCs w:val="0"/>
          <w:color w:val="auto"/>
          <w:highlight w:val="none"/>
        </w:rPr>
        <w:t>)具有履行合同所必需的设备和专业技术能力；</w:t>
      </w:r>
    </w:p>
    <w:p>
      <w:pPr>
        <w:pStyle w:val="44"/>
        <w:keepNext w:val="0"/>
        <w:keepLines w:val="0"/>
        <w:pageBreakBefore w:val="0"/>
        <w:widowControl w:val="0"/>
        <w:kinsoku/>
        <w:wordWrap w:val="0"/>
        <w:overflowPunct/>
        <w:topLinePunct/>
        <w:autoSpaceDE/>
        <w:autoSpaceDN/>
        <w:bidi w:val="0"/>
        <w:adjustRightInd w:val="0"/>
        <w:snapToGrid w:val="0"/>
        <w:spacing w:line="500" w:lineRule="exact"/>
        <w:ind w:firstLine="480" w:firstLineChars="200"/>
        <w:textAlignment w:val="auto"/>
        <w:rPr>
          <w:b w:val="0"/>
          <w:bCs w:val="0"/>
          <w:color w:val="auto"/>
          <w:highlight w:val="none"/>
        </w:rPr>
      </w:pPr>
      <w:r>
        <w:rPr>
          <w:rFonts w:hint="eastAsia"/>
          <w:b w:val="0"/>
          <w:bCs w:val="0"/>
          <w:color w:val="auto"/>
          <w:highlight w:val="none"/>
        </w:rPr>
        <w:t>(</w:t>
      </w:r>
      <w:r>
        <w:rPr>
          <w:rFonts w:hint="eastAsia"/>
          <w:b w:val="0"/>
          <w:bCs w:val="0"/>
          <w:color w:val="auto"/>
          <w:highlight w:val="none"/>
          <w:lang w:val="en-US" w:eastAsia="zh-CN"/>
        </w:rPr>
        <w:t>四</w:t>
      </w:r>
      <w:r>
        <w:rPr>
          <w:rFonts w:hint="eastAsia"/>
          <w:b w:val="0"/>
          <w:bCs w:val="0"/>
          <w:color w:val="auto"/>
          <w:highlight w:val="none"/>
        </w:rPr>
        <w:t>)有依法缴纳税收和</w:t>
      </w:r>
      <w:r>
        <w:rPr>
          <w:b w:val="0"/>
          <w:bCs w:val="0"/>
          <w:color w:val="auto"/>
          <w:highlight w:val="none"/>
        </w:rPr>
        <w:fldChar w:fldCharType="begin"/>
      </w:r>
      <w:r>
        <w:rPr>
          <w:b w:val="0"/>
          <w:bCs w:val="0"/>
          <w:color w:val="auto"/>
          <w:highlight w:val="none"/>
        </w:rPr>
        <w:instrText xml:space="preserve"> HYPERLINK "http://www.lawtime.cn/info/laodong/shehuibaozhang/" \t "_blank" </w:instrText>
      </w:r>
      <w:r>
        <w:rPr>
          <w:b w:val="0"/>
          <w:bCs w:val="0"/>
          <w:color w:val="auto"/>
          <w:highlight w:val="none"/>
        </w:rPr>
        <w:fldChar w:fldCharType="separate"/>
      </w:r>
      <w:r>
        <w:rPr>
          <w:rFonts w:hint="eastAsia"/>
          <w:b w:val="0"/>
          <w:bCs w:val="0"/>
          <w:color w:val="auto"/>
          <w:highlight w:val="none"/>
        </w:rPr>
        <w:t>社会保障</w:t>
      </w:r>
      <w:r>
        <w:rPr>
          <w:rFonts w:hint="eastAsia"/>
          <w:b w:val="0"/>
          <w:bCs w:val="0"/>
          <w:color w:val="auto"/>
          <w:highlight w:val="none"/>
        </w:rPr>
        <w:fldChar w:fldCharType="end"/>
      </w:r>
      <w:r>
        <w:rPr>
          <w:rFonts w:hint="eastAsia"/>
          <w:b w:val="0"/>
          <w:bCs w:val="0"/>
          <w:color w:val="auto"/>
          <w:highlight w:val="none"/>
        </w:rPr>
        <w:t>资金的良好记录；</w:t>
      </w:r>
    </w:p>
    <w:p>
      <w:pPr>
        <w:pStyle w:val="44"/>
        <w:keepNext w:val="0"/>
        <w:keepLines w:val="0"/>
        <w:pageBreakBefore w:val="0"/>
        <w:widowControl w:val="0"/>
        <w:kinsoku/>
        <w:wordWrap w:val="0"/>
        <w:overflowPunct/>
        <w:topLinePunct/>
        <w:autoSpaceDE/>
        <w:autoSpaceDN/>
        <w:bidi w:val="0"/>
        <w:adjustRightInd w:val="0"/>
        <w:snapToGrid w:val="0"/>
        <w:spacing w:line="500" w:lineRule="exact"/>
        <w:ind w:firstLine="480" w:firstLineChars="200"/>
        <w:textAlignment w:val="auto"/>
        <w:rPr>
          <w:b w:val="0"/>
          <w:bCs w:val="0"/>
          <w:color w:val="auto"/>
          <w:highlight w:val="none"/>
        </w:rPr>
      </w:pPr>
      <w:r>
        <w:rPr>
          <w:rFonts w:hint="eastAsia"/>
          <w:b w:val="0"/>
          <w:bCs w:val="0"/>
          <w:color w:val="auto"/>
          <w:highlight w:val="none"/>
        </w:rPr>
        <w:t>(</w:t>
      </w:r>
      <w:r>
        <w:rPr>
          <w:rFonts w:hint="eastAsia"/>
          <w:b w:val="0"/>
          <w:bCs w:val="0"/>
          <w:color w:val="auto"/>
          <w:highlight w:val="none"/>
          <w:lang w:val="en-US" w:eastAsia="zh-CN"/>
        </w:rPr>
        <w:t>五</w:t>
      </w:r>
      <w:r>
        <w:rPr>
          <w:rFonts w:hint="eastAsia"/>
          <w:b w:val="0"/>
          <w:bCs w:val="0"/>
          <w:color w:val="auto"/>
          <w:highlight w:val="none"/>
        </w:rPr>
        <w:t>)参加</w:t>
      </w:r>
      <w:r>
        <w:rPr>
          <w:rFonts w:hint="eastAsia"/>
          <w:b w:val="0"/>
          <w:bCs w:val="0"/>
          <w:color w:val="auto"/>
          <w:highlight w:val="none"/>
          <w:lang w:eastAsia="zh-CN"/>
        </w:rPr>
        <w:t>采购</w:t>
      </w:r>
      <w:r>
        <w:rPr>
          <w:rFonts w:hint="eastAsia"/>
          <w:b w:val="0"/>
          <w:bCs w:val="0"/>
          <w:color w:val="auto"/>
          <w:highlight w:val="none"/>
        </w:rPr>
        <w:t>活动前三年内，在经营活动中没有重大违法记录；</w:t>
      </w:r>
    </w:p>
    <w:p>
      <w:pPr>
        <w:pStyle w:val="44"/>
        <w:keepNext w:val="0"/>
        <w:keepLines w:val="0"/>
        <w:pageBreakBefore w:val="0"/>
        <w:widowControl w:val="0"/>
        <w:kinsoku/>
        <w:wordWrap w:val="0"/>
        <w:overflowPunct/>
        <w:topLinePunct/>
        <w:autoSpaceDE/>
        <w:autoSpaceDN/>
        <w:bidi w:val="0"/>
        <w:adjustRightInd w:val="0"/>
        <w:snapToGrid w:val="0"/>
        <w:spacing w:line="500" w:lineRule="exact"/>
        <w:ind w:firstLine="480" w:firstLineChars="200"/>
        <w:textAlignment w:val="auto"/>
        <w:rPr>
          <w:b w:val="0"/>
          <w:bCs w:val="0"/>
          <w:color w:val="auto"/>
          <w:highlight w:val="none"/>
        </w:rPr>
      </w:pPr>
      <w:r>
        <w:rPr>
          <w:rFonts w:hint="eastAsia"/>
          <w:b w:val="0"/>
          <w:bCs w:val="0"/>
          <w:color w:val="auto"/>
          <w:highlight w:val="none"/>
        </w:rPr>
        <w:t>(</w:t>
      </w:r>
      <w:r>
        <w:rPr>
          <w:rFonts w:hint="eastAsia"/>
          <w:b w:val="0"/>
          <w:bCs w:val="0"/>
          <w:color w:val="auto"/>
          <w:highlight w:val="none"/>
          <w:lang w:val="en-US" w:eastAsia="zh-CN"/>
        </w:rPr>
        <w:t>六</w:t>
      </w:r>
      <w:r>
        <w:rPr>
          <w:rFonts w:hint="eastAsia"/>
          <w:b w:val="0"/>
          <w:bCs w:val="0"/>
          <w:color w:val="auto"/>
          <w:highlight w:val="none"/>
        </w:rPr>
        <w:t>)法律、</w:t>
      </w:r>
      <w:r>
        <w:rPr>
          <w:b w:val="0"/>
          <w:bCs w:val="0"/>
          <w:color w:val="auto"/>
          <w:highlight w:val="none"/>
        </w:rPr>
        <w:fldChar w:fldCharType="begin"/>
      </w:r>
      <w:r>
        <w:rPr>
          <w:b w:val="0"/>
          <w:bCs w:val="0"/>
          <w:color w:val="auto"/>
          <w:highlight w:val="none"/>
        </w:rPr>
        <w:instrText xml:space="preserve"> HYPERLINK "http://www.lawtime.cn/info/sifakaoshi/xingzhengfa/" \t "_blank" </w:instrText>
      </w:r>
      <w:r>
        <w:rPr>
          <w:b w:val="0"/>
          <w:bCs w:val="0"/>
          <w:color w:val="auto"/>
          <w:highlight w:val="none"/>
        </w:rPr>
        <w:fldChar w:fldCharType="separate"/>
      </w:r>
      <w:r>
        <w:rPr>
          <w:rFonts w:hint="eastAsia"/>
          <w:b w:val="0"/>
          <w:bCs w:val="0"/>
          <w:color w:val="auto"/>
          <w:highlight w:val="none"/>
        </w:rPr>
        <w:t>行政法</w:t>
      </w:r>
      <w:r>
        <w:rPr>
          <w:rFonts w:hint="eastAsia"/>
          <w:b w:val="0"/>
          <w:bCs w:val="0"/>
          <w:color w:val="auto"/>
          <w:highlight w:val="none"/>
        </w:rPr>
        <w:fldChar w:fldCharType="end"/>
      </w:r>
      <w:r>
        <w:rPr>
          <w:rFonts w:hint="eastAsia"/>
          <w:b w:val="0"/>
          <w:bCs w:val="0"/>
          <w:color w:val="auto"/>
          <w:highlight w:val="none"/>
        </w:rPr>
        <w:t>规规定的其他条件。</w:t>
      </w:r>
    </w:p>
    <w:p>
      <w:pPr>
        <w:pStyle w:val="44"/>
        <w:keepNext w:val="0"/>
        <w:keepLines w:val="0"/>
        <w:pageBreakBefore w:val="0"/>
        <w:widowControl w:val="0"/>
        <w:kinsoku/>
        <w:wordWrap w:val="0"/>
        <w:overflowPunct/>
        <w:topLinePunct/>
        <w:autoSpaceDE/>
        <w:autoSpaceDN/>
        <w:bidi w:val="0"/>
        <w:adjustRightInd w:val="0"/>
        <w:snapToGrid w:val="0"/>
        <w:spacing w:line="500" w:lineRule="exact"/>
        <w:ind w:firstLine="480" w:firstLineChars="200"/>
        <w:textAlignment w:val="auto"/>
        <w:rPr>
          <w:color w:val="auto"/>
          <w:highlight w:val="none"/>
          <w:lang w:val="zh-CN"/>
        </w:rPr>
      </w:pPr>
      <w:r>
        <w:rPr>
          <w:rFonts w:hint="eastAsia"/>
          <w:b w:val="0"/>
          <w:bCs w:val="0"/>
          <w:color w:val="auto"/>
          <w:highlight w:val="none"/>
        </w:rPr>
        <w:t>(</w:t>
      </w:r>
      <w:r>
        <w:rPr>
          <w:rFonts w:hint="eastAsia"/>
          <w:b w:val="0"/>
          <w:bCs w:val="0"/>
          <w:color w:val="auto"/>
          <w:highlight w:val="none"/>
          <w:lang w:val="en-US" w:eastAsia="zh-CN"/>
        </w:rPr>
        <w:t>七</w:t>
      </w:r>
      <w:r>
        <w:rPr>
          <w:rFonts w:hint="eastAsia"/>
          <w:b w:val="0"/>
          <w:bCs w:val="0"/>
          <w:color w:val="auto"/>
          <w:highlight w:val="none"/>
        </w:rPr>
        <w:t>)</w:t>
      </w:r>
      <w:r>
        <w:rPr>
          <w:rFonts w:hint="eastAsia"/>
          <w:b w:val="0"/>
          <w:bCs w:val="0"/>
          <w:color w:val="auto"/>
          <w:highlight w:val="none"/>
          <w:lang w:val="zh-CN"/>
        </w:rPr>
        <w:t>本项目的特定资格要求：</w:t>
      </w:r>
      <w:r>
        <w:rPr>
          <w:rFonts w:hint="eastAsia"/>
          <w:b w:val="0"/>
          <w:bCs w:val="0"/>
          <w:color w:val="auto"/>
          <w:highlight w:val="none"/>
        </w:rPr>
        <w:t>本项目不接受联合体投标。</w:t>
      </w:r>
    </w:p>
    <w:p>
      <w:pPr>
        <w:pStyle w:val="36"/>
        <w:keepNext w:val="0"/>
        <w:keepLines w:val="0"/>
        <w:pageBreakBefore w:val="0"/>
        <w:widowControl w:val="0"/>
        <w:numPr>
          <w:ilvl w:val="1"/>
          <w:numId w:val="15"/>
        </w:numPr>
        <w:kinsoku/>
        <w:wordWrap w:val="0"/>
        <w:overflowPunct/>
        <w:topLinePunct/>
        <w:autoSpaceDE/>
        <w:autoSpaceDN/>
        <w:bidi w:val="0"/>
        <w:adjustRightInd w:val="0"/>
        <w:snapToGrid w:val="0"/>
        <w:spacing w:line="500" w:lineRule="exact"/>
        <w:ind w:firstLine="482"/>
        <w:textAlignment w:val="auto"/>
        <w:rPr>
          <w:color w:val="auto"/>
          <w:highlight w:val="none"/>
        </w:rPr>
      </w:pPr>
      <w:bookmarkStart w:id="1064" w:name="_Toc11256"/>
      <w:r>
        <w:rPr>
          <w:rFonts w:hint="eastAsia"/>
          <w:color w:val="auto"/>
          <w:highlight w:val="none"/>
        </w:rPr>
        <w:t>投标产品的资格、资质性及其他类似效力要求</w:t>
      </w:r>
      <w:bookmarkEnd w:id="1059"/>
      <w:bookmarkEnd w:id="1060"/>
      <w:bookmarkEnd w:id="1061"/>
      <w:bookmarkEnd w:id="1062"/>
      <w:bookmarkEnd w:id="1063"/>
      <w:bookmarkEnd w:id="1064"/>
    </w:p>
    <w:p>
      <w:pPr>
        <w:pStyle w:val="48"/>
        <w:keepNext w:val="0"/>
        <w:keepLines w:val="0"/>
        <w:pageBreakBefore w:val="0"/>
        <w:widowControl w:val="0"/>
        <w:kinsoku/>
        <w:wordWrap w:val="0"/>
        <w:overflowPunct/>
        <w:topLinePunct/>
        <w:autoSpaceDE/>
        <w:autoSpaceDN/>
        <w:bidi w:val="0"/>
        <w:adjustRightInd w:val="0"/>
        <w:snapToGrid w:val="0"/>
        <w:spacing w:line="500" w:lineRule="exact"/>
        <w:textAlignment w:val="auto"/>
        <w:rPr>
          <w:color w:val="auto"/>
          <w:highlight w:val="none"/>
        </w:rPr>
      </w:pPr>
      <w:r>
        <w:rPr>
          <w:rFonts w:hint="eastAsia"/>
          <w:color w:val="auto"/>
          <w:highlight w:val="none"/>
        </w:rPr>
        <w:t>无。</w:t>
      </w:r>
    </w:p>
    <w:p>
      <w:pPr>
        <w:pStyle w:val="36"/>
        <w:keepNext w:val="0"/>
        <w:keepLines w:val="0"/>
        <w:pageBreakBefore w:val="0"/>
        <w:widowControl w:val="0"/>
        <w:numPr>
          <w:ilvl w:val="1"/>
          <w:numId w:val="15"/>
        </w:numPr>
        <w:kinsoku/>
        <w:wordWrap w:val="0"/>
        <w:overflowPunct/>
        <w:topLinePunct/>
        <w:autoSpaceDE/>
        <w:autoSpaceDN/>
        <w:bidi w:val="0"/>
        <w:adjustRightInd w:val="0"/>
        <w:snapToGrid w:val="0"/>
        <w:spacing w:line="500" w:lineRule="exact"/>
        <w:ind w:firstLine="482"/>
        <w:textAlignment w:val="auto"/>
        <w:rPr>
          <w:color w:val="auto"/>
          <w:highlight w:val="none"/>
        </w:rPr>
      </w:pPr>
      <w:bookmarkStart w:id="1065" w:name="_Toc13910"/>
      <w:bookmarkStart w:id="1066" w:name="_Toc6320"/>
      <w:bookmarkStart w:id="1067" w:name="_Toc3740"/>
      <w:r>
        <w:rPr>
          <w:rFonts w:hint="eastAsia"/>
          <w:color w:val="auto"/>
          <w:highlight w:val="none"/>
        </w:rPr>
        <w:t>其他类似效力要求</w:t>
      </w:r>
      <w:bookmarkEnd w:id="1065"/>
      <w:bookmarkEnd w:id="1066"/>
      <w:bookmarkEnd w:id="1067"/>
    </w:p>
    <w:p>
      <w:pPr>
        <w:pStyle w:val="34"/>
        <w:keepNext w:val="0"/>
        <w:keepLines w:val="0"/>
        <w:pageBreakBefore w:val="0"/>
        <w:widowControl w:val="0"/>
        <w:numPr>
          <w:ilvl w:val="1"/>
          <w:numId w:val="30"/>
        </w:numPr>
        <w:kinsoku/>
        <w:wordWrap w:val="0"/>
        <w:overflowPunct/>
        <w:topLinePunct/>
        <w:autoSpaceDE/>
        <w:autoSpaceDN/>
        <w:bidi w:val="0"/>
        <w:adjustRightInd w:val="0"/>
        <w:snapToGrid w:val="0"/>
        <w:spacing w:line="500" w:lineRule="exact"/>
        <w:ind w:firstLine="480"/>
        <w:textAlignment w:val="auto"/>
        <w:rPr>
          <w:color w:val="auto"/>
          <w:highlight w:val="none"/>
          <w:lang w:val="zh-CN"/>
        </w:rPr>
      </w:pPr>
      <w:r>
        <w:rPr>
          <w:rFonts w:hint="eastAsia"/>
          <w:color w:val="auto"/>
          <w:highlight w:val="none"/>
        </w:rPr>
        <w:t>投标人依法获取了招标文件；</w:t>
      </w:r>
    </w:p>
    <w:p>
      <w:pPr>
        <w:pStyle w:val="34"/>
        <w:keepNext w:val="0"/>
        <w:keepLines w:val="0"/>
        <w:pageBreakBefore w:val="0"/>
        <w:widowControl w:val="0"/>
        <w:numPr>
          <w:ilvl w:val="1"/>
          <w:numId w:val="30"/>
        </w:numPr>
        <w:kinsoku/>
        <w:wordWrap w:val="0"/>
        <w:overflowPunct/>
        <w:topLinePunct/>
        <w:autoSpaceDE/>
        <w:autoSpaceDN/>
        <w:bidi w:val="0"/>
        <w:adjustRightInd w:val="0"/>
        <w:snapToGrid w:val="0"/>
        <w:spacing w:line="500" w:lineRule="exact"/>
        <w:ind w:firstLine="480"/>
        <w:textAlignment w:val="auto"/>
        <w:rPr>
          <w:color w:val="auto"/>
          <w:highlight w:val="none"/>
          <w:lang w:val="zh-CN"/>
        </w:rPr>
      </w:pPr>
      <w:r>
        <w:rPr>
          <w:rFonts w:hint="eastAsia"/>
          <w:color w:val="auto"/>
          <w:highlight w:val="none"/>
          <w:lang w:val="zh-CN"/>
        </w:rPr>
        <w:t>投标供应商单位及其现任法定代表人、主要负责人不得具有行贿犯罪记录；</w:t>
      </w:r>
    </w:p>
    <w:p>
      <w:pPr>
        <w:pStyle w:val="34"/>
        <w:keepNext w:val="0"/>
        <w:keepLines w:val="0"/>
        <w:pageBreakBefore w:val="0"/>
        <w:widowControl w:val="0"/>
        <w:numPr>
          <w:ilvl w:val="1"/>
          <w:numId w:val="30"/>
        </w:numPr>
        <w:kinsoku/>
        <w:wordWrap w:val="0"/>
        <w:overflowPunct/>
        <w:topLinePunct/>
        <w:autoSpaceDE/>
        <w:autoSpaceDN/>
        <w:bidi w:val="0"/>
        <w:adjustRightInd w:val="0"/>
        <w:snapToGrid w:val="0"/>
        <w:spacing w:line="500" w:lineRule="exact"/>
        <w:ind w:firstLine="480"/>
        <w:textAlignment w:val="auto"/>
        <w:rPr>
          <w:color w:val="auto"/>
          <w:highlight w:val="none"/>
          <w:lang w:val="zh-CN"/>
        </w:rPr>
      </w:pPr>
      <w:r>
        <w:rPr>
          <w:rFonts w:hint="eastAsia"/>
          <w:color w:val="auto"/>
          <w:highlight w:val="none"/>
          <w:lang w:val="zh-CN"/>
        </w:rPr>
        <w:t>投标人代表不是法定代表人</w:t>
      </w:r>
      <w:r>
        <w:rPr>
          <w:rFonts w:hint="eastAsia"/>
          <w:color w:val="auto"/>
          <w:highlight w:val="none"/>
        </w:rPr>
        <w:t>/单位负责人</w:t>
      </w:r>
      <w:r>
        <w:rPr>
          <w:rFonts w:hint="eastAsia"/>
          <w:color w:val="auto"/>
          <w:highlight w:val="none"/>
          <w:lang w:val="zh-CN"/>
        </w:rPr>
        <w:t>时提供针对本次投标的法定代表人</w:t>
      </w:r>
      <w:r>
        <w:rPr>
          <w:rFonts w:hint="eastAsia"/>
          <w:color w:val="auto"/>
          <w:highlight w:val="none"/>
        </w:rPr>
        <w:t>/单位负责人</w:t>
      </w:r>
      <w:r>
        <w:rPr>
          <w:rFonts w:hint="eastAsia"/>
          <w:color w:val="auto"/>
          <w:highlight w:val="none"/>
          <w:lang w:val="zh-CN"/>
        </w:rPr>
        <w:t>授权书原件；</w:t>
      </w:r>
    </w:p>
    <w:p>
      <w:pPr>
        <w:pStyle w:val="34"/>
        <w:keepNext w:val="0"/>
        <w:keepLines w:val="0"/>
        <w:pageBreakBefore w:val="0"/>
        <w:widowControl w:val="0"/>
        <w:numPr>
          <w:ilvl w:val="1"/>
          <w:numId w:val="30"/>
        </w:numPr>
        <w:kinsoku/>
        <w:wordWrap w:val="0"/>
        <w:overflowPunct/>
        <w:topLinePunct/>
        <w:autoSpaceDE/>
        <w:autoSpaceDN/>
        <w:bidi w:val="0"/>
        <w:adjustRightInd w:val="0"/>
        <w:snapToGrid w:val="0"/>
        <w:spacing w:line="500" w:lineRule="exact"/>
        <w:ind w:firstLine="480"/>
        <w:textAlignment w:val="auto"/>
        <w:rPr>
          <w:color w:val="auto"/>
          <w:highlight w:val="none"/>
          <w:lang w:val="zh-CN"/>
        </w:rPr>
      </w:pPr>
      <w:r>
        <w:rPr>
          <w:rFonts w:hint="eastAsia"/>
          <w:color w:val="auto"/>
          <w:highlight w:val="none"/>
        </w:rPr>
        <w:t>投标人代表是法定</w:t>
      </w:r>
      <w:r>
        <w:rPr>
          <w:rFonts w:hint="eastAsia"/>
          <w:color w:val="auto"/>
          <w:highlight w:val="none"/>
          <w:lang w:val="zh-CN"/>
        </w:rPr>
        <w:t>代表人</w:t>
      </w:r>
      <w:r>
        <w:rPr>
          <w:rFonts w:hint="eastAsia"/>
          <w:color w:val="auto"/>
          <w:highlight w:val="none"/>
        </w:rPr>
        <w:t>/单位负责人</w:t>
      </w:r>
      <w:r>
        <w:rPr>
          <w:rFonts w:hint="eastAsia"/>
          <w:color w:val="auto"/>
          <w:highlight w:val="none"/>
          <w:lang w:val="zh-CN"/>
        </w:rPr>
        <w:t>时，</w:t>
      </w:r>
      <w:r>
        <w:rPr>
          <w:rFonts w:hint="eastAsia"/>
          <w:color w:val="auto"/>
          <w:highlight w:val="none"/>
        </w:rPr>
        <w:t>提供法定代表人/单位负责人证明书原件。</w:t>
      </w:r>
    </w:p>
    <w:p>
      <w:pPr>
        <w:pStyle w:val="34"/>
        <w:keepNext w:val="0"/>
        <w:keepLines w:val="0"/>
        <w:pageBreakBefore w:val="0"/>
        <w:widowControl w:val="0"/>
        <w:numPr>
          <w:ilvl w:val="1"/>
          <w:numId w:val="30"/>
        </w:numPr>
        <w:kinsoku/>
        <w:wordWrap w:val="0"/>
        <w:overflowPunct/>
        <w:topLinePunct/>
        <w:autoSpaceDE/>
        <w:autoSpaceDN/>
        <w:bidi w:val="0"/>
        <w:adjustRightInd w:val="0"/>
        <w:snapToGrid w:val="0"/>
        <w:spacing w:line="500" w:lineRule="exact"/>
        <w:ind w:firstLine="480"/>
        <w:textAlignment w:val="auto"/>
        <w:rPr>
          <w:color w:val="auto"/>
          <w:highlight w:val="none"/>
          <w:lang w:val="zh-CN"/>
        </w:rPr>
      </w:pPr>
      <w:r>
        <w:rPr>
          <w:rFonts w:hint="eastAsia" w:ascii="宋体" w:hAnsi="宋体" w:eastAsia="宋体" w:cs="宋体"/>
          <w:color w:val="auto"/>
          <w:highlight w:val="none"/>
        </w:rPr>
        <w:t>提供</w:t>
      </w:r>
      <w:r>
        <w:rPr>
          <w:rFonts w:hint="eastAsia" w:ascii="宋体" w:hAnsi="宋体" w:eastAsia="宋体" w:cs="宋体"/>
          <w:color w:val="auto"/>
          <w:highlight w:val="none"/>
          <w:lang w:val="zh-CN"/>
        </w:rPr>
        <w:t>有效的</w:t>
      </w:r>
      <w:r>
        <w:rPr>
          <w:rFonts w:hint="eastAsia" w:ascii="宋体" w:hAnsi="宋体" w:eastAsia="宋体" w:cs="宋体"/>
          <w:color w:val="auto"/>
          <w:highlight w:val="none"/>
        </w:rPr>
        <w:t>投标</w:t>
      </w:r>
      <w:r>
        <w:rPr>
          <w:rFonts w:hint="eastAsia" w:ascii="宋体" w:hAnsi="宋体" w:eastAsia="宋体" w:cs="宋体"/>
          <w:color w:val="auto"/>
          <w:highlight w:val="none"/>
          <w:lang w:val="zh-CN"/>
        </w:rPr>
        <w:t>保证金提交凭证</w:t>
      </w:r>
      <w:r>
        <w:rPr>
          <w:rFonts w:hint="eastAsia"/>
          <w:color w:val="auto"/>
          <w:highlight w:val="none"/>
          <w:lang w:val="en-US" w:eastAsia="zh-CN"/>
        </w:rPr>
        <w:t>。</w:t>
      </w:r>
    </w:p>
    <w:p>
      <w:pPr>
        <w:pStyle w:val="48"/>
        <w:keepNext w:val="0"/>
        <w:keepLines w:val="0"/>
        <w:pageBreakBefore w:val="0"/>
        <w:widowControl w:val="0"/>
        <w:kinsoku/>
        <w:wordWrap w:val="0"/>
        <w:overflowPunct/>
        <w:topLinePunct/>
        <w:autoSpaceDE/>
        <w:autoSpaceDN/>
        <w:bidi w:val="0"/>
        <w:adjustRightInd w:val="0"/>
        <w:snapToGrid w:val="0"/>
        <w:spacing w:line="500" w:lineRule="exact"/>
        <w:ind w:firstLine="482"/>
        <w:textAlignment w:val="auto"/>
        <w:rPr>
          <w:b/>
          <w:bCs/>
          <w:color w:val="auto"/>
          <w:highlight w:val="none"/>
        </w:rPr>
      </w:pPr>
      <w:bookmarkStart w:id="1068" w:name="_Toc24888"/>
      <w:r>
        <w:rPr>
          <w:rFonts w:hint="eastAsia"/>
          <w:b/>
          <w:bCs/>
          <w:color w:val="auto"/>
          <w:highlight w:val="none"/>
        </w:rPr>
        <w:t>注：重大违法记录是指供应商因违法经营受到刑事处罚或者责令停产停业、吊销许可证或者执照、较大数额罚款等行政处罚。供应商在参加</w:t>
      </w:r>
      <w:r>
        <w:rPr>
          <w:rFonts w:hint="eastAsia"/>
          <w:b/>
          <w:bCs/>
          <w:color w:val="auto"/>
          <w:highlight w:val="none"/>
          <w:lang w:eastAsia="zh-CN"/>
        </w:rPr>
        <w:t>采购</w:t>
      </w:r>
      <w:r>
        <w:rPr>
          <w:rFonts w:hint="eastAsia"/>
          <w:b/>
          <w:bCs/>
          <w:color w:val="auto"/>
          <w:highlight w:val="none"/>
        </w:rPr>
        <w:t>活动前3年内因违法经营被禁止在一定期限内参加</w:t>
      </w:r>
      <w:r>
        <w:rPr>
          <w:rFonts w:hint="eastAsia"/>
          <w:b/>
          <w:bCs/>
          <w:color w:val="auto"/>
          <w:highlight w:val="none"/>
          <w:lang w:eastAsia="zh-CN"/>
        </w:rPr>
        <w:t>采购</w:t>
      </w:r>
      <w:r>
        <w:rPr>
          <w:rFonts w:hint="eastAsia"/>
          <w:b/>
          <w:bCs/>
          <w:color w:val="auto"/>
          <w:highlight w:val="none"/>
        </w:rPr>
        <w:t>活动，期限届满的，可以参加</w:t>
      </w:r>
      <w:r>
        <w:rPr>
          <w:rFonts w:hint="eastAsia"/>
          <w:b/>
          <w:bCs/>
          <w:color w:val="auto"/>
          <w:highlight w:val="none"/>
          <w:lang w:eastAsia="zh-CN"/>
        </w:rPr>
        <w:t>采购</w:t>
      </w:r>
      <w:r>
        <w:rPr>
          <w:rFonts w:hint="eastAsia"/>
          <w:b/>
          <w:bCs/>
          <w:color w:val="auto"/>
          <w:highlight w:val="none"/>
        </w:rPr>
        <w:t>活动。</w:t>
      </w:r>
    </w:p>
    <w:p>
      <w:pPr>
        <w:pStyle w:val="49"/>
        <w:keepNext w:val="0"/>
        <w:keepLines w:val="0"/>
        <w:pageBreakBefore w:val="0"/>
        <w:widowControl w:val="0"/>
        <w:kinsoku/>
        <w:wordWrap w:val="0"/>
        <w:overflowPunct/>
        <w:topLinePunct/>
        <w:autoSpaceDE/>
        <w:autoSpaceDN/>
        <w:bidi w:val="0"/>
        <w:adjustRightInd w:val="0"/>
        <w:snapToGrid w:val="0"/>
        <w:spacing w:line="500" w:lineRule="exact"/>
        <w:ind w:firstLine="482"/>
        <w:textAlignment w:val="auto"/>
        <w:rPr>
          <w:color w:val="auto"/>
          <w:highlight w:val="none"/>
        </w:rPr>
      </w:pPr>
      <w:r>
        <w:rPr>
          <w:rFonts w:hint="eastAsia"/>
          <w:color w:val="auto"/>
          <w:highlight w:val="none"/>
        </w:rPr>
        <w:t>重大违法记录中的较大数额罚款的具体金额标准及范围是：根据</w:t>
      </w:r>
      <w:bookmarkStart w:id="1069" w:name="sendNo"/>
      <w:r>
        <w:rPr>
          <w:rFonts w:hint="eastAsia"/>
          <w:color w:val="auto"/>
          <w:highlight w:val="none"/>
        </w:rPr>
        <w:t>财库〔2022〕3 号</w:t>
      </w:r>
      <w:bookmarkEnd w:id="1069"/>
      <w:r>
        <w:rPr>
          <w:rFonts w:hint="eastAsia"/>
          <w:color w:val="auto"/>
          <w:highlight w:val="none"/>
        </w:rPr>
        <w:t>文件关于“较大数额罚款”认定为200万元以上的罚款，法律、行政法规以及国务院有关部门明确规定相关领域“较大数额罚款”标准高于200万元的，从其规定。</w:t>
      </w:r>
    </w:p>
    <w:p>
      <w:pPr>
        <w:pStyle w:val="50"/>
        <w:numPr>
          <w:ilvl w:val="0"/>
          <w:numId w:val="15"/>
        </w:numPr>
        <w:spacing w:before="120" w:after="120"/>
        <w:rPr>
          <w:color w:val="auto"/>
          <w:highlight w:val="none"/>
        </w:rPr>
      </w:pPr>
      <w:r>
        <w:rPr>
          <w:rFonts w:hint="eastAsia"/>
          <w:color w:val="auto"/>
          <w:highlight w:val="none"/>
        </w:rPr>
        <w:br w:type="page"/>
      </w:r>
      <w:bookmarkEnd w:id="1068"/>
      <w:bookmarkStart w:id="1070" w:name="_Toc18196"/>
      <w:bookmarkStart w:id="1071" w:name="_Toc22998"/>
      <w:bookmarkStart w:id="1072" w:name="_Toc4506"/>
      <w:bookmarkStart w:id="1073" w:name="_Toc27628"/>
      <w:r>
        <w:rPr>
          <w:rFonts w:hint="eastAsia"/>
          <w:color w:val="auto"/>
          <w:highlight w:val="none"/>
        </w:rPr>
        <w:t>资格性审查</w:t>
      </w:r>
      <w:bookmarkEnd w:id="1070"/>
      <w:r>
        <w:rPr>
          <w:rFonts w:hint="eastAsia"/>
          <w:color w:val="auto"/>
          <w:highlight w:val="none"/>
        </w:rPr>
        <w:t>内容</w:t>
      </w:r>
      <w:bookmarkEnd w:id="1071"/>
      <w:bookmarkEnd w:id="1072"/>
      <w:bookmarkEnd w:id="1073"/>
    </w:p>
    <w:p>
      <w:pPr>
        <w:pStyle w:val="36"/>
        <w:numPr>
          <w:ilvl w:val="1"/>
          <w:numId w:val="15"/>
        </w:numPr>
        <w:spacing w:line="520" w:lineRule="exact"/>
        <w:ind w:firstLine="482"/>
        <w:rPr>
          <w:color w:val="auto"/>
          <w:highlight w:val="none"/>
        </w:rPr>
      </w:pPr>
      <w:bookmarkStart w:id="1074" w:name="_Toc23868"/>
      <w:bookmarkStart w:id="1075" w:name="_Toc17175"/>
      <w:bookmarkStart w:id="1076" w:name="_Toc30344"/>
      <w:bookmarkStart w:id="1077" w:name="_Toc3107"/>
      <w:bookmarkStart w:id="1078" w:name="_Toc17621"/>
      <w:bookmarkStart w:id="1079" w:name="_Toc28265"/>
      <w:bookmarkStart w:id="1080" w:name="_Toc15801"/>
      <w:bookmarkStart w:id="1081" w:name="_Toc141"/>
      <w:bookmarkStart w:id="1082" w:name="_Toc10631"/>
      <w:bookmarkStart w:id="1083" w:name="_Toc20678"/>
      <w:bookmarkStart w:id="1084" w:name="_Toc32482"/>
      <w:r>
        <w:rPr>
          <w:rFonts w:hint="eastAsia"/>
          <w:color w:val="auto"/>
          <w:highlight w:val="none"/>
        </w:rPr>
        <w:t>应当提供的投标人及投标产品资格、资质性及其他类似效力要求的相关证明材料</w:t>
      </w:r>
      <w:bookmarkEnd w:id="1074"/>
      <w:bookmarkEnd w:id="1075"/>
      <w:bookmarkEnd w:id="1076"/>
      <w:bookmarkEnd w:id="1077"/>
      <w:bookmarkEnd w:id="1078"/>
      <w:bookmarkEnd w:id="1079"/>
      <w:bookmarkEnd w:id="1080"/>
    </w:p>
    <w:p>
      <w:pPr>
        <w:pStyle w:val="34"/>
        <w:numPr>
          <w:ilvl w:val="1"/>
          <w:numId w:val="31"/>
        </w:numPr>
        <w:spacing w:line="520" w:lineRule="exact"/>
        <w:ind w:firstLine="482"/>
        <w:rPr>
          <w:b/>
          <w:bCs/>
          <w:color w:val="auto"/>
          <w:highlight w:val="none"/>
        </w:rPr>
      </w:pPr>
      <w:r>
        <w:rPr>
          <w:rFonts w:hint="eastAsia"/>
          <w:b/>
          <w:bCs/>
          <w:color w:val="auto"/>
          <w:highlight w:val="none"/>
        </w:rPr>
        <w:t>投标人具有独立承担民事责任的能力的证明材料；</w:t>
      </w:r>
    </w:p>
    <w:p>
      <w:pPr>
        <w:pStyle w:val="48"/>
        <w:spacing w:line="520" w:lineRule="exact"/>
        <w:rPr>
          <w:color w:val="auto"/>
          <w:highlight w:val="none"/>
        </w:rPr>
      </w:pPr>
      <w:r>
        <w:rPr>
          <w:rFonts w:hint="eastAsia"/>
          <w:color w:val="auto"/>
          <w:highlight w:val="none"/>
        </w:rPr>
        <w:t>1.投标人若为企业法人：提供“营业执照”；未换证的提供“营业执照、税务登记证、组织机构代码证”；2.若为事业法人：提供“统一社会信用代码法人登记证书”；未换证的提交“事业法人登记证书、组织机构代码证”；3.若为其他组织：提供“对应主管部门颁发的准许执业证明文件或营业执照”；4.若为自然人：提供“身份证明材料”。</w:t>
      </w:r>
    </w:p>
    <w:p>
      <w:pPr>
        <w:pStyle w:val="49"/>
        <w:spacing w:line="520" w:lineRule="exact"/>
        <w:ind w:firstLine="482"/>
        <w:rPr>
          <w:color w:val="auto"/>
          <w:highlight w:val="none"/>
        </w:rPr>
      </w:pPr>
      <w:r>
        <w:rPr>
          <w:rFonts w:hint="eastAsia"/>
          <w:color w:val="auto"/>
          <w:highlight w:val="none"/>
        </w:rPr>
        <w:t>注：1.以上证明材料应满足此条要求①发证机关有年检要求的，应按规定通过年检；②在有效期内；③复印件加盖投标人公章；</w:t>
      </w:r>
    </w:p>
    <w:p>
      <w:pPr>
        <w:pStyle w:val="49"/>
        <w:spacing w:line="520" w:lineRule="exact"/>
        <w:ind w:firstLine="482"/>
        <w:rPr>
          <w:color w:val="auto"/>
          <w:highlight w:val="none"/>
        </w:rPr>
      </w:pPr>
      <w:r>
        <w:rPr>
          <w:rFonts w:hint="eastAsia"/>
          <w:color w:val="auto"/>
          <w:highlight w:val="none"/>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49"/>
        <w:spacing w:line="520" w:lineRule="exact"/>
        <w:ind w:firstLine="482"/>
        <w:rPr>
          <w:color w:val="auto"/>
          <w:highlight w:val="none"/>
        </w:rPr>
      </w:pPr>
      <w:r>
        <w:rPr>
          <w:rFonts w:hint="eastAsia"/>
          <w:color w:val="auto"/>
          <w:highlight w:val="none"/>
        </w:rPr>
        <w:t>3.</w:t>
      </w:r>
      <w:r>
        <w:rPr>
          <w:color w:val="auto"/>
          <w:highlight w:val="none"/>
        </w:rPr>
        <w:t>根据国务院办公厅关于加快推进“多证合一”改革的指导意见</w:t>
      </w:r>
      <w:r>
        <w:rPr>
          <w:rFonts w:hint="eastAsia"/>
          <w:color w:val="auto"/>
          <w:highlight w:val="none"/>
        </w:rPr>
        <w:t>(</w:t>
      </w:r>
      <w:r>
        <w:rPr>
          <w:color w:val="auto"/>
          <w:highlight w:val="none"/>
        </w:rPr>
        <w:t>国办发</w:t>
      </w:r>
      <w:r>
        <w:rPr>
          <w:rFonts w:hint="eastAsia"/>
          <w:color w:val="auto"/>
          <w:highlight w:val="none"/>
        </w:rPr>
        <w:t>〔</w:t>
      </w:r>
      <w:r>
        <w:rPr>
          <w:color w:val="auto"/>
          <w:highlight w:val="none"/>
        </w:rPr>
        <w:t>2017</w:t>
      </w:r>
      <w:r>
        <w:rPr>
          <w:rFonts w:hint="eastAsia"/>
          <w:color w:val="auto"/>
          <w:highlight w:val="none"/>
        </w:rPr>
        <w:t>〕</w:t>
      </w:r>
      <w:r>
        <w:rPr>
          <w:color w:val="auto"/>
          <w:highlight w:val="none"/>
        </w:rPr>
        <w:t>41号</w:t>
      </w:r>
      <w:r>
        <w:rPr>
          <w:rFonts w:hint="eastAsia"/>
          <w:color w:val="auto"/>
          <w:highlight w:val="none"/>
        </w:rPr>
        <w:t>)</w:t>
      </w:r>
      <w:r>
        <w:rPr>
          <w:color w:val="auto"/>
          <w:highlight w:val="none"/>
        </w:rPr>
        <w:t>等政策要求，若资格要求涉及的登记、备案等有关事项和各类证照已实行多证合一</w:t>
      </w:r>
      <w:r>
        <w:rPr>
          <w:rFonts w:hint="eastAsia"/>
          <w:color w:val="auto"/>
          <w:highlight w:val="none"/>
        </w:rPr>
        <w:t>提供多证合一证照复印件</w:t>
      </w:r>
      <w:r>
        <w:rPr>
          <w:color w:val="auto"/>
          <w:highlight w:val="none"/>
        </w:rPr>
        <w:t>。</w:t>
      </w:r>
    </w:p>
    <w:p>
      <w:pPr>
        <w:pStyle w:val="34"/>
        <w:numPr>
          <w:ilvl w:val="1"/>
          <w:numId w:val="31"/>
        </w:numPr>
        <w:spacing w:line="520" w:lineRule="exact"/>
        <w:ind w:firstLine="482"/>
        <w:rPr>
          <w:b/>
          <w:bCs/>
          <w:color w:val="auto"/>
          <w:highlight w:val="none"/>
        </w:rPr>
      </w:pPr>
      <w:r>
        <w:rPr>
          <w:rFonts w:hint="eastAsia"/>
          <w:b/>
          <w:bCs/>
          <w:color w:val="auto"/>
          <w:highlight w:val="none"/>
        </w:rPr>
        <w:t>投标人具有良好的商业信誉和健全的财务会计制度的证明材料；</w:t>
      </w:r>
    </w:p>
    <w:p>
      <w:pPr>
        <w:pStyle w:val="48"/>
        <w:spacing w:line="520" w:lineRule="exact"/>
        <w:rPr>
          <w:color w:val="auto"/>
          <w:highlight w:val="none"/>
        </w:rPr>
      </w:pPr>
      <w:r>
        <w:rPr>
          <w:rFonts w:hint="eastAsia"/>
          <w:color w:val="auto"/>
          <w:highlight w:val="none"/>
        </w:rPr>
        <w:t>1.投标人具有良好商业信誉的证明材料</w:t>
      </w:r>
    </w:p>
    <w:p>
      <w:pPr>
        <w:pStyle w:val="48"/>
        <w:spacing w:line="520" w:lineRule="exact"/>
        <w:rPr>
          <w:color w:val="auto"/>
          <w:highlight w:val="none"/>
        </w:rPr>
      </w:pPr>
      <w:r>
        <w:rPr>
          <w:rFonts w:hint="eastAsia"/>
          <w:color w:val="auto"/>
          <w:highlight w:val="none"/>
        </w:rPr>
        <w:t>提供具有良好的商业信誉的承诺函。</w:t>
      </w:r>
    </w:p>
    <w:p>
      <w:pPr>
        <w:pStyle w:val="48"/>
        <w:spacing w:line="520" w:lineRule="exact"/>
        <w:ind w:firstLine="482"/>
        <w:rPr>
          <w:b/>
          <w:bCs/>
          <w:color w:val="auto"/>
          <w:highlight w:val="none"/>
        </w:rPr>
      </w:pPr>
      <w:r>
        <w:rPr>
          <w:rFonts w:hint="eastAsia"/>
          <w:b/>
          <w:bCs/>
          <w:color w:val="auto"/>
          <w:highlight w:val="none"/>
        </w:rPr>
        <w:t>注：</w:t>
      </w:r>
      <w:r>
        <w:rPr>
          <w:rFonts w:hint="eastAsia"/>
          <w:b/>
          <w:bCs/>
          <w:color w:val="auto"/>
          <w:highlight w:val="none"/>
          <w:lang w:val="en-US" w:eastAsia="zh-CN"/>
        </w:rPr>
        <w:t>承诺函</w:t>
      </w:r>
      <w:r>
        <w:rPr>
          <w:rFonts w:hint="eastAsia"/>
          <w:b/>
          <w:bCs/>
          <w:color w:val="auto"/>
          <w:highlight w:val="none"/>
        </w:rPr>
        <w:t>格式自拟，</w:t>
      </w:r>
      <w:r>
        <w:rPr>
          <w:rFonts w:hint="eastAsia"/>
          <w:b/>
          <w:color w:val="auto"/>
          <w:highlight w:val="none"/>
        </w:rPr>
        <w:t>或参照《承诺及声明函》的格式提供承诺函。</w:t>
      </w:r>
    </w:p>
    <w:p>
      <w:pPr>
        <w:pStyle w:val="48"/>
        <w:spacing w:line="520" w:lineRule="exact"/>
        <w:rPr>
          <w:color w:val="auto"/>
          <w:highlight w:val="none"/>
        </w:rPr>
      </w:pPr>
      <w:r>
        <w:rPr>
          <w:rFonts w:hint="eastAsia"/>
          <w:color w:val="auto"/>
          <w:highlight w:val="none"/>
        </w:rPr>
        <w:t>2.投标人具有健全的财务会计制度的证明材料</w:t>
      </w:r>
    </w:p>
    <w:p>
      <w:pPr>
        <w:pStyle w:val="48"/>
        <w:spacing w:line="520" w:lineRule="exact"/>
        <w:rPr>
          <w:color w:val="auto"/>
          <w:highlight w:val="none"/>
        </w:rPr>
      </w:pPr>
      <w:r>
        <w:rPr>
          <w:rFonts w:hint="eastAsia"/>
          <w:color w:val="auto"/>
          <w:highlight w:val="none"/>
        </w:rPr>
        <w:t>(1)投标人提供2022年度经过会计师事务所审计的财务报告复印件(经审计的有效财务报告应包括报告及报告中所附的完整内容，并由注册会计师签名、盖章以及会计师事务所盖章)；</w:t>
      </w:r>
    </w:p>
    <w:p>
      <w:pPr>
        <w:pStyle w:val="48"/>
        <w:spacing w:line="520" w:lineRule="exact"/>
        <w:rPr>
          <w:color w:val="auto"/>
          <w:highlight w:val="none"/>
        </w:rPr>
      </w:pPr>
      <w:r>
        <w:rPr>
          <w:rFonts w:hint="eastAsia"/>
          <w:color w:val="auto"/>
          <w:highlight w:val="none"/>
        </w:rPr>
        <w:t>(2)投标人提供2022年度投标人内部的财务报表复印件(至少包含资产负债表)；</w:t>
      </w:r>
    </w:p>
    <w:p>
      <w:pPr>
        <w:pStyle w:val="48"/>
        <w:spacing w:line="520" w:lineRule="exact"/>
        <w:rPr>
          <w:color w:val="auto"/>
          <w:highlight w:val="none"/>
        </w:rPr>
      </w:pPr>
      <w:r>
        <w:rPr>
          <w:rFonts w:hint="eastAsia"/>
          <w:color w:val="auto"/>
          <w:highlight w:val="none"/>
        </w:rPr>
        <w:t>(3)投标人提供投标文件递交截止日前一年内银行为其出具的资信证明复印件；</w:t>
      </w:r>
    </w:p>
    <w:p>
      <w:pPr>
        <w:pStyle w:val="48"/>
        <w:spacing w:line="520" w:lineRule="exact"/>
        <w:rPr>
          <w:color w:val="auto"/>
          <w:highlight w:val="none"/>
        </w:rPr>
      </w:pPr>
      <w:r>
        <w:rPr>
          <w:rFonts w:hint="eastAsia"/>
          <w:color w:val="auto"/>
          <w:highlight w:val="none"/>
        </w:rPr>
        <w:t>(4)投标人注册时间截至投标文件递交截止日不足一年的，可提供公司章程复印件；</w:t>
      </w:r>
    </w:p>
    <w:p>
      <w:pPr>
        <w:pStyle w:val="48"/>
        <w:spacing w:line="520" w:lineRule="exact"/>
        <w:rPr>
          <w:color w:val="auto"/>
          <w:highlight w:val="none"/>
        </w:rPr>
      </w:pPr>
      <w:r>
        <w:rPr>
          <w:rFonts w:hint="eastAsia"/>
          <w:color w:val="auto"/>
          <w:highlight w:val="none"/>
        </w:rPr>
        <w:t>(5)投标人提供具有健全的财务会计制度的承诺函。</w:t>
      </w:r>
    </w:p>
    <w:p>
      <w:pPr>
        <w:pStyle w:val="49"/>
        <w:spacing w:line="520" w:lineRule="exact"/>
        <w:ind w:firstLine="482"/>
        <w:rPr>
          <w:color w:val="auto"/>
          <w:highlight w:val="none"/>
        </w:rPr>
      </w:pPr>
      <w:r>
        <w:rPr>
          <w:rFonts w:hint="eastAsia"/>
          <w:bCs/>
          <w:color w:val="auto"/>
          <w:highlight w:val="none"/>
        </w:rPr>
        <w:t>注：具有健全的财务会计制度的证明材料中第(1)-(6)项具有同等的投标效力，投标人可根据自身实际情况选择提供其中任意一项。</w:t>
      </w:r>
    </w:p>
    <w:p>
      <w:pPr>
        <w:pStyle w:val="34"/>
        <w:numPr>
          <w:ilvl w:val="1"/>
          <w:numId w:val="31"/>
        </w:numPr>
        <w:spacing w:line="520" w:lineRule="exact"/>
        <w:ind w:firstLine="482"/>
        <w:rPr>
          <w:b/>
          <w:bCs/>
          <w:color w:val="auto"/>
          <w:highlight w:val="none"/>
        </w:rPr>
      </w:pPr>
      <w:r>
        <w:rPr>
          <w:rFonts w:hint="eastAsia"/>
          <w:b/>
          <w:bCs/>
          <w:color w:val="auto"/>
          <w:highlight w:val="none"/>
        </w:rPr>
        <w:t>投标人具有履行合同所必需的设备和专业技术能力证明材料；</w:t>
      </w:r>
    </w:p>
    <w:p>
      <w:pPr>
        <w:pStyle w:val="48"/>
        <w:spacing w:line="520" w:lineRule="exact"/>
        <w:rPr>
          <w:color w:val="auto"/>
          <w:highlight w:val="none"/>
        </w:rPr>
      </w:pPr>
      <w:r>
        <w:rPr>
          <w:rFonts w:hint="eastAsia"/>
          <w:color w:val="auto"/>
          <w:highlight w:val="none"/>
        </w:rPr>
        <w:t>提供具有履行合同所必需的设备和专业技术能力的承诺函。</w:t>
      </w:r>
    </w:p>
    <w:p>
      <w:pPr>
        <w:pStyle w:val="49"/>
        <w:spacing w:line="520" w:lineRule="exact"/>
        <w:ind w:firstLine="482"/>
        <w:rPr>
          <w:color w:val="auto"/>
          <w:highlight w:val="none"/>
        </w:rPr>
      </w:pPr>
      <w:r>
        <w:rPr>
          <w:rFonts w:hint="eastAsia"/>
          <w:color w:val="auto"/>
          <w:highlight w:val="none"/>
        </w:rPr>
        <w:t>注：</w:t>
      </w:r>
      <w:r>
        <w:rPr>
          <w:rFonts w:hint="eastAsia"/>
          <w:color w:val="auto"/>
          <w:highlight w:val="none"/>
          <w:lang w:val="en-US" w:eastAsia="zh-CN"/>
        </w:rPr>
        <w:t>承诺函</w:t>
      </w:r>
      <w:r>
        <w:rPr>
          <w:rFonts w:hint="eastAsia"/>
          <w:color w:val="auto"/>
          <w:highlight w:val="none"/>
        </w:rPr>
        <w:t>格式自拟，或参照《承诺及声明函》的格式提供承诺函。</w:t>
      </w:r>
    </w:p>
    <w:p>
      <w:pPr>
        <w:pStyle w:val="34"/>
        <w:numPr>
          <w:ilvl w:val="1"/>
          <w:numId w:val="31"/>
        </w:numPr>
        <w:spacing w:line="520" w:lineRule="exact"/>
        <w:ind w:firstLine="482"/>
        <w:rPr>
          <w:b/>
          <w:bCs/>
          <w:color w:val="auto"/>
          <w:highlight w:val="none"/>
        </w:rPr>
      </w:pPr>
      <w:r>
        <w:rPr>
          <w:rFonts w:hint="eastAsia"/>
          <w:b/>
          <w:bCs/>
          <w:color w:val="auto"/>
          <w:highlight w:val="none"/>
        </w:rPr>
        <w:t>投标人有依法缴纳税收和社会保障资金的良好记录的证明材料；</w:t>
      </w:r>
    </w:p>
    <w:p>
      <w:pPr>
        <w:pStyle w:val="48"/>
        <w:spacing w:line="520" w:lineRule="exact"/>
        <w:rPr>
          <w:color w:val="auto"/>
          <w:highlight w:val="none"/>
        </w:rPr>
      </w:pPr>
      <w:r>
        <w:rPr>
          <w:rFonts w:hint="eastAsia"/>
          <w:color w:val="auto"/>
          <w:highlight w:val="none"/>
        </w:rPr>
        <w:t>提供有</w:t>
      </w:r>
      <w:r>
        <w:rPr>
          <w:rFonts w:hint="eastAsia"/>
          <w:color w:val="auto"/>
          <w:highlight w:val="none"/>
          <w:lang w:val="zh-CN"/>
        </w:rPr>
        <w:t>依法缴纳税收和社会保障资金的良好记录</w:t>
      </w:r>
      <w:r>
        <w:rPr>
          <w:rFonts w:hint="eastAsia"/>
          <w:color w:val="auto"/>
          <w:highlight w:val="none"/>
        </w:rPr>
        <w:t>的承诺函。</w:t>
      </w:r>
    </w:p>
    <w:p>
      <w:pPr>
        <w:pStyle w:val="49"/>
        <w:spacing w:line="520" w:lineRule="exact"/>
        <w:ind w:firstLine="482"/>
        <w:rPr>
          <w:color w:val="auto"/>
          <w:highlight w:val="none"/>
        </w:rPr>
      </w:pPr>
      <w:r>
        <w:rPr>
          <w:rFonts w:hint="eastAsia"/>
          <w:color w:val="auto"/>
          <w:highlight w:val="none"/>
        </w:rPr>
        <w:t>注：</w:t>
      </w:r>
      <w:r>
        <w:rPr>
          <w:rFonts w:hint="eastAsia"/>
          <w:color w:val="auto"/>
          <w:highlight w:val="none"/>
          <w:lang w:val="en-US" w:eastAsia="zh-CN"/>
        </w:rPr>
        <w:t>承诺函</w:t>
      </w:r>
      <w:r>
        <w:rPr>
          <w:rFonts w:hint="eastAsia"/>
          <w:color w:val="auto"/>
          <w:highlight w:val="none"/>
        </w:rPr>
        <w:t>格式自拟，或参照《承诺及声明函》的格式提供承诺函。</w:t>
      </w:r>
    </w:p>
    <w:p>
      <w:pPr>
        <w:pStyle w:val="34"/>
        <w:numPr>
          <w:ilvl w:val="1"/>
          <w:numId w:val="31"/>
        </w:numPr>
        <w:spacing w:line="520" w:lineRule="exact"/>
        <w:ind w:firstLine="482"/>
        <w:rPr>
          <w:b/>
          <w:bCs/>
          <w:color w:val="auto"/>
          <w:highlight w:val="none"/>
        </w:rPr>
      </w:pPr>
      <w:r>
        <w:rPr>
          <w:rFonts w:hint="eastAsia"/>
          <w:b/>
          <w:bCs/>
          <w:color w:val="auto"/>
          <w:highlight w:val="none"/>
        </w:rPr>
        <w:t>投标人参加</w:t>
      </w:r>
      <w:r>
        <w:rPr>
          <w:rFonts w:hint="eastAsia"/>
          <w:b/>
          <w:bCs/>
          <w:color w:val="auto"/>
          <w:highlight w:val="none"/>
          <w:lang w:eastAsia="zh-CN"/>
        </w:rPr>
        <w:t>采购</w:t>
      </w:r>
      <w:r>
        <w:rPr>
          <w:rFonts w:hint="eastAsia"/>
          <w:b/>
          <w:bCs/>
          <w:color w:val="auto"/>
          <w:highlight w:val="none"/>
        </w:rPr>
        <w:t>活动前三年内，在经营活动中没有重大违法记录的证明材料；</w:t>
      </w:r>
    </w:p>
    <w:p>
      <w:pPr>
        <w:pStyle w:val="48"/>
        <w:spacing w:line="520" w:lineRule="exact"/>
        <w:rPr>
          <w:color w:val="auto"/>
          <w:highlight w:val="none"/>
        </w:rPr>
      </w:pPr>
      <w:r>
        <w:rPr>
          <w:rFonts w:hint="eastAsia"/>
          <w:color w:val="auto"/>
          <w:highlight w:val="none"/>
        </w:rPr>
        <w:t>提供参加本次</w:t>
      </w:r>
      <w:r>
        <w:rPr>
          <w:rFonts w:hint="eastAsia"/>
          <w:color w:val="auto"/>
          <w:highlight w:val="none"/>
          <w:lang w:eastAsia="zh-CN"/>
        </w:rPr>
        <w:t>采购</w:t>
      </w:r>
      <w:r>
        <w:rPr>
          <w:rFonts w:hint="eastAsia"/>
          <w:color w:val="auto"/>
          <w:highlight w:val="none"/>
        </w:rPr>
        <w:t>活动前三年内，在经营活动中没有重大违法记录的书面声明(成立不足三年的，从成立之日起计算)。</w:t>
      </w:r>
    </w:p>
    <w:p>
      <w:pPr>
        <w:pStyle w:val="49"/>
        <w:spacing w:line="520" w:lineRule="exact"/>
        <w:ind w:firstLine="482"/>
        <w:rPr>
          <w:color w:val="auto"/>
          <w:highlight w:val="none"/>
        </w:rPr>
      </w:pPr>
      <w:r>
        <w:rPr>
          <w:rFonts w:hint="eastAsia"/>
          <w:color w:val="auto"/>
          <w:highlight w:val="none"/>
        </w:rPr>
        <w:t>注：</w:t>
      </w:r>
      <w:r>
        <w:rPr>
          <w:rFonts w:hint="eastAsia"/>
          <w:color w:val="auto"/>
          <w:highlight w:val="none"/>
          <w:lang w:val="en-US" w:eastAsia="zh-CN"/>
        </w:rPr>
        <w:t>承诺函</w:t>
      </w:r>
      <w:r>
        <w:rPr>
          <w:rFonts w:hint="eastAsia"/>
          <w:color w:val="auto"/>
          <w:highlight w:val="none"/>
        </w:rPr>
        <w:t>格式自拟，或参照《承诺及声明函》的格式提供声明函。</w:t>
      </w:r>
    </w:p>
    <w:p>
      <w:pPr>
        <w:pStyle w:val="34"/>
        <w:numPr>
          <w:ilvl w:val="1"/>
          <w:numId w:val="31"/>
        </w:numPr>
        <w:spacing w:line="520" w:lineRule="exact"/>
        <w:ind w:firstLine="482"/>
        <w:rPr>
          <w:rFonts w:cs="宋体"/>
          <w:b/>
          <w:bCs/>
          <w:color w:val="auto"/>
          <w:highlight w:val="none"/>
        </w:rPr>
      </w:pPr>
      <w:r>
        <w:rPr>
          <w:rFonts w:hint="eastAsia"/>
          <w:b/>
          <w:bCs/>
          <w:color w:val="auto"/>
          <w:highlight w:val="none"/>
        </w:rPr>
        <w:t>投标</w:t>
      </w:r>
      <w:r>
        <w:rPr>
          <w:rFonts w:hint="eastAsia" w:cs="宋体"/>
          <w:b/>
          <w:bCs/>
          <w:color w:val="auto"/>
          <w:highlight w:val="none"/>
        </w:rPr>
        <w:t>人</w:t>
      </w:r>
      <w:r>
        <w:rPr>
          <w:rFonts w:hint="eastAsia" w:cs="宋体"/>
          <w:b/>
          <w:bCs/>
          <w:color w:val="auto"/>
          <w:highlight w:val="none"/>
          <w:lang w:val="zh-CN"/>
        </w:rPr>
        <w:t>及其现任法定代表人、主要负责人不得具有行贿犯罪记录</w:t>
      </w:r>
      <w:r>
        <w:rPr>
          <w:rFonts w:hint="eastAsia" w:cs="宋体"/>
          <w:b/>
          <w:bCs/>
          <w:color w:val="auto"/>
          <w:highlight w:val="none"/>
        </w:rPr>
        <w:t>的证明材料</w:t>
      </w:r>
      <w:r>
        <w:rPr>
          <w:rFonts w:hint="eastAsia" w:cs="宋体"/>
          <w:b/>
          <w:bCs/>
          <w:color w:val="auto"/>
          <w:highlight w:val="none"/>
          <w:lang w:val="zh-CN"/>
        </w:rPr>
        <w:t>；</w:t>
      </w:r>
    </w:p>
    <w:p>
      <w:pPr>
        <w:pStyle w:val="49"/>
        <w:spacing w:line="520" w:lineRule="exact"/>
        <w:jc w:val="both"/>
        <w:rPr>
          <w:b w:val="0"/>
          <w:bCs/>
          <w:color w:val="auto"/>
          <w:highlight w:val="none"/>
        </w:rPr>
      </w:pPr>
      <w:r>
        <w:rPr>
          <w:rFonts w:hint="eastAsia"/>
          <w:b w:val="0"/>
          <w:bCs/>
          <w:color w:val="auto"/>
          <w:highlight w:val="none"/>
        </w:rPr>
        <w:t>1.在投标文件中作出投标人及其现任法定代表人(姓名和身份证号码)、主要负责人(姓名和身份证号码)10年内(</w:t>
      </w:r>
      <w:r>
        <w:rPr>
          <w:rFonts w:hint="eastAsia"/>
          <w:b w:val="0"/>
          <w:bCs/>
          <w:color w:val="auto"/>
          <w:highlight w:val="none"/>
          <w:lang w:val="zh-CN"/>
        </w:rPr>
        <w:t>若</w:t>
      </w:r>
      <w:r>
        <w:rPr>
          <w:rFonts w:hint="eastAsia"/>
          <w:b w:val="0"/>
          <w:bCs/>
          <w:color w:val="auto"/>
          <w:highlight w:val="none"/>
        </w:rPr>
        <w:t>供应商</w:t>
      </w:r>
      <w:r>
        <w:rPr>
          <w:rFonts w:hint="eastAsia"/>
          <w:b w:val="0"/>
          <w:bCs/>
          <w:color w:val="auto"/>
          <w:highlight w:val="none"/>
          <w:lang w:val="zh-CN"/>
        </w:rPr>
        <w:t>成立不足10年的，</w:t>
      </w:r>
      <w:r>
        <w:rPr>
          <w:rFonts w:hint="eastAsia"/>
          <w:b w:val="0"/>
          <w:bCs/>
          <w:color w:val="auto"/>
          <w:highlight w:val="none"/>
        </w:rPr>
        <w:t>承诺期限为</w:t>
      </w:r>
      <w:r>
        <w:rPr>
          <w:rFonts w:hint="eastAsia"/>
          <w:b w:val="0"/>
          <w:bCs/>
          <w:color w:val="auto"/>
          <w:highlight w:val="none"/>
          <w:lang w:val="zh-CN"/>
        </w:rPr>
        <w:t>成立之日起</w:t>
      </w:r>
      <w:r>
        <w:rPr>
          <w:rFonts w:hint="eastAsia"/>
          <w:b w:val="0"/>
          <w:bCs/>
          <w:color w:val="auto"/>
          <w:highlight w:val="none"/>
        </w:rPr>
        <w:t>至今)无行贿犯罪记录的承诺；</w:t>
      </w:r>
    </w:p>
    <w:p>
      <w:pPr>
        <w:pStyle w:val="49"/>
        <w:spacing w:line="520" w:lineRule="exact"/>
        <w:jc w:val="both"/>
        <w:rPr>
          <w:b w:val="0"/>
          <w:bCs/>
          <w:color w:val="auto"/>
          <w:highlight w:val="none"/>
          <w:lang w:val="zh-CN"/>
        </w:rPr>
      </w:pPr>
      <w:r>
        <w:rPr>
          <w:rFonts w:hint="eastAsia"/>
          <w:b w:val="0"/>
          <w:bCs/>
          <w:color w:val="auto"/>
          <w:highlight w:val="none"/>
        </w:rPr>
        <w:t>2.投标人未提供有效承诺函的，则需要在投标文件中书面载明其“现任法定代表人”(姓名和身份证号码)、“主要负责人”(姓名和身份证号码)信息，由采购代理机构通过“中国裁判文书网”查询，并将查询记录存档，查询结果与承诺函具有同等效力</w:t>
      </w:r>
      <w:r>
        <w:rPr>
          <w:rFonts w:hint="eastAsia"/>
          <w:b w:val="0"/>
          <w:bCs/>
          <w:color w:val="auto"/>
          <w:highlight w:val="none"/>
          <w:lang w:val="zh-CN"/>
        </w:rPr>
        <w:t>。</w:t>
      </w:r>
    </w:p>
    <w:p>
      <w:pPr>
        <w:pStyle w:val="65"/>
        <w:numPr>
          <w:ilvl w:val="3"/>
          <w:numId w:val="0"/>
        </w:numPr>
        <w:spacing w:line="520" w:lineRule="exact"/>
        <w:ind w:firstLine="482" w:firstLineChars="200"/>
        <w:rPr>
          <w:b/>
          <w:bCs/>
          <w:color w:val="auto"/>
          <w:highlight w:val="none"/>
        </w:rPr>
      </w:pPr>
      <w:r>
        <w:rPr>
          <w:rFonts w:hint="eastAsia"/>
          <w:b/>
          <w:bCs/>
          <w:color w:val="auto"/>
          <w:highlight w:val="none"/>
        </w:rPr>
        <w:t>注：①投标人采用提供承诺函方式响应的，其内容必须符合上述第1款的要求，否则将视为无效承诺；②如投标人未提供有效承诺函，且未</w:t>
      </w:r>
      <w:r>
        <w:rPr>
          <w:rFonts w:hint="eastAsia"/>
          <w:b/>
          <w:color w:val="auto"/>
          <w:highlight w:val="none"/>
        </w:rPr>
        <w:t>在投标文件中书面载明</w:t>
      </w:r>
      <w:r>
        <w:rPr>
          <w:rFonts w:hint="eastAsia"/>
          <w:b/>
          <w:bCs/>
          <w:color w:val="auto"/>
          <w:highlight w:val="none"/>
        </w:rPr>
        <w:t>其“现任法定代表人”(姓名和身份证号码)、“主要负责人”(姓名和身份证号码)信息的，将被视为无效投标。</w:t>
      </w:r>
    </w:p>
    <w:p>
      <w:pPr>
        <w:pStyle w:val="34"/>
        <w:numPr>
          <w:ilvl w:val="1"/>
          <w:numId w:val="31"/>
        </w:numPr>
        <w:spacing w:line="520" w:lineRule="exact"/>
        <w:ind w:firstLine="482"/>
        <w:rPr>
          <w:b/>
          <w:bCs/>
          <w:color w:val="auto"/>
          <w:highlight w:val="none"/>
        </w:rPr>
      </w:pPr>
      <w:r>
        <w:rPr>
          <w:rFonts w:hint="eastAsia"/>
          <w:b/>
          <w:bCs/>
          <w:color w:val="auto"/>
          <w:highlight w:val="none"/>
        </w:rPr>
        <w:t>法定代表人/单位负责人授权书原件；</w:t>
      </w:r>
    </w:p>
    <w:p>
      <w:pPr>
        <w:pStyle w:val="49"/>
        <w:spacing w:line="520" w:lineRule="exact"/>
        <w:ind w:firstLine="482"/>
        <w:rPr>
          <w:color w:val="auto"/>
          <w:highlight w:val="none"/>
        </w:rPr>
      </w:pPr>
      <w:r>
        <w:rPr>
          <w:rFonts w:hint="eastAsia"/>
          <w:color w:val="auto"/>
          <w:highlight w:val="none"/>
        </w:rPr>
        <w:t>注：①附法定代表人/单位负责人和被授权人身份证正反面复印件；②法定代表人/单位负责人亲自参与投标时不需要提供。</w:t>
      </w:r>
    </w:p>
    <w:p>
      <w:pPr>
        <w:pStyle w:val="34"/>
        <w:numPr>
          <w:ilvl w:val="1"/>
          <w:numId w:val="31"/>
        </w:numPr>
        <w:spacing w:line="520" w:lineRule="exact"/>
        <w:ind w:firstLine="482"/>
        <w:rPr>
          <w:b/>
          <w:bCs/>
          <w:color w:val="auto"/>
          <w:highlight w:val="none"/>
        </w:rPr>
      </w:pPr>
      <w:r>
        <w:rPr>
          <w:rFonts w:hint="eastAsia"/>
          <w:b/>
          <w:bCs/>
          <w:color w:val="auto"/>
          <w:highlight w:val="none"/>
        </w:rPr>
        <w:t>法定代表人/单位负责人证明书；</w:t>
      </w:r>
    </w:p>
    <w:p>
      <w:pPr>
        <w:pStyle w:val="49"/>
        <w:spacing w:line="520" w:lineRule="exact"/>
        <w:ind w:firstLine="482"/>
        <w:rPr>
          <w:color w:val="auto"/>
          <w:highlight w:val="none"/>
        </w:rPr>
      </w:pPr>
      <w:r>
        <w:rPr>
          <w:rFonts w:hint="eastAsia"/>
          <w:color w:val="auto"/>
          <w:highlight w:val="none"/>
        </w:rPr>
        <w:t>注：①附法定代表人/单位负责人身份证正反面复印件；②法定代表人/单位负责人亲自参加投标时提供本证明书。</w:t>
      </w:r>
    </w:p>
    <w:p>
      <w:pPr>
        <w:pStyle w:val="34"/>
        <w:numPr>
          <w:ilvl w:val="1"/>
          <w:numId w:val="31"/>
        </w:numPr>
        <w:spacing w:line="520" w:lineRule="exact"/>
        <w:ind w:firstLine="482"/>
        <w:rPr>
          <w:b/>
          <w:bCs/>
          <w:color w:val="auto"/>
          <w:highlight w:val="none"/>
        </w:rPr>
      </w:pPr>
      <w:r>
        <w:rPr>
          <w:rFonts w:hint="eastAsia"/>
          <w:b/>
          <w:bCs/>
          <w:color w:val="auto"/>
          <w:highlight w:val="none"/>
        </w:rPr>
        <w:t>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b/>
          <w:bCs/>
          <w:color w:val="auto"/>
          <w:highlight w:val="none"/>
        </w:rPr>
        <w:t>行政法</w:t>
      </w:r>
      <w:r>
        <w:rPr>
          <w:rFonts w:hint="eastAsia"/>
          <w:b/>
          <w:bCs/>
          <w:color w:val="auto"/>
          <w:highlight w:val="none"/>
        </w:rPr>
        <w:fldChar w:fldCharType="end"/>
      </w:r>
      <w:r>
        <w:rPr>
          <w:rFonts w:hint="eastAsia"/>
          <w:b/>
          <w:bCs/>
          <w:color w:val="auto"/>
          <w:highlight w:val="none"/>
        </w:rPr>
        <w:t>规规定的其他条件的证明材料；</w:t>
      </w:r>
    </w:p>
    <w:p>
      <w:pPr>
        <w:pStyle w:val="48"/>
        <w:spacing w:line="520" w:lineRule="exact"/>
        <w:rPr>
          <w:color w:val="auto"/>
          <w:highlight w:val="none"/>
        </w:rPr>
      </w:pPr>
      <w:r>
        <w:rPr>
          <w:rFonts w:hint="eastAsia"/>
          <w:color w:val="auto"/>
          <w:highlight w:val="none"/>
        </w:rPr>
        <w:t>提供符合法律、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color w:val="auto"/>
          <w:highlight w:val="none"/>
        </w:rPr>
        <w:t>行政法</w:t>
      </w:r>
      <w:r>
        <w:rPr>
          <w:rFonts w:hint="eastAsia"/>
          <w:color w:val="auto"/>
          <w:highlight w:val="none"/>
        </w:rPr>
        <w:fldChar w:fldCharType="end"/>
      </w:r>
      <w:r>
        <w:rPr>
          <w:rFonts w:hint="eastAsia"/>
          <w:color w:val="auto"/>
          <w:highlight w:val="none"/>
        </w:rPr>
        <w:t>规规定的其他条件的承诺函。</w:t>
      </w:r>
    </w:p>
    <w:p>
      <w:pPr>
        <w:pStyle w:val="49"/>
        <w:spacing w:line="520" w:lineRule="exact"/>
        <w:ind w:firstLine="482"/>
        <w:rPr>
          <w:color w:val="auto"/>
          <w:highlight w:val="none"/>
        </w:rPr>
      </w:pPr>
      <w:r>
        <w:rPr>
          <w:rFonts w:hint="eastAsia"/>
          <w:color w:val="auto"/>
          <w:highlight w:val="none"/>
        </w:rPr>
        <w:t>注：</w:t>
      </w:r>
      <w:r>
        <w:rPr>
          <w:rFonts w:hint="eastAsia"/>
          <w:color w:val="auto"/>
          <w:highlight w:val="none"/>
          <w:lang w:val="en-US" w:eastAsia="zh-CN"/>
        </w:rPr>
        <w:t>承诺函</w:t>
      </w:r>
      <w:r>
        <w:rPr>
          <w:rFonts w:hint="eastAsia"/>
          <w:color w:val="auto"/>
          <w:highlight w:val="none"/>
        </w:rPr>
        <w:t>格式自拟，或参照《承诺及声明函》的格式提供承诺函。</w:t>
      </w:r>
    </w:p>
    <w:p>
      <w:pPr>
        <w:pStyle w:val="34"/>
        <w:numPr>
          <w:ilvl w:val="1"/>
          <w:numId w:val="31"/>
        </w:numPr>
        <w:spacing w:line="520" w:lineRule="exact"/>
        <w:ind w:firstLine="482"/>
        <w:rPr>
          <w:b/>
          <w:bCs/>
          <w:color w:val="auto"/>
          <w:highlight w:val="none"/>
          <w:lang w:val="zh-CN"/>
        </w:rPr>
      </w:pPr>
      <w:r>
        <w:rPr>
          <w:rFonts w:hint="eastAsia"/>
          <w:b/>
          <w:bCs/>
          <w:color w:val="auto"/>
          <w:highlight w:val="none"/>
        </w:rPr>
        <w:t>根据采购项目的特殊要求，规定供应商的特定条件的证明材料；</w:t>
      </w:r>
    </w:p>
    <w:p>
      <w:pPr>
        <w:pStyle w:val="44"/>
        <w:spacing w:line="520" w:lineRule="exact"/>
        <w:ind w:firstLine="480" w:firstLineChars="200"/>
        <w:rPr>
          <w:snapToGrid/>
          <w:color w:val="auto"/>
          <w:highlight w:val="none"/>
        </w:rPr>
      </w:pPr>
      <w:r>
        <w:rPr>
          <w:rFonts w:hint="eastAsia"/>
          <w:snapToGrid/>
          <w:color w:val="auto"/>
          <w:highlight w:val="none"/>
        </w:rPr>
        <w:t>提供未与其他供应商组成联合体参加本项目投标的承诺函。</w:t>
      </w:r>
    </w:p>
    <w:p>
      <w:pPr>
        <w:pStyle w:val="49"/>
        <w:spacing w:line="520" w:lineRule="exact"/>
        <w:ind w:firstLine="482"/>
        <w:rPr>
          <w:color w:val="auto"/>
          <w:highlight w:val="none"/>
        </w:rPr>
      </w:pPr>
      <w:r>
        <w:rPr>
          <w:rFonts w:hint="eastAsia"/>
          <w:color w:val="auto"/>
          <w:highlight w:val="none"/>
        </w:rPr>
        <w:t>注：</w:t>
      </w:r>
      <w:r>
        <w:rPr>
          <w:rFonts w:hint="eastAsia"/>
          <w:color w:val="auto"/>
          <w:highlight w:val="none"/>
          <w:lang w:val="en-US" w:eastAsia="zh-CN"/>
        </w:rPr>
        <w:t>承诺函</w:t>
      </w:r>
      <w:r>
        <w:rPr>
          <w:rFonts w:hint="eastAsia"/>
          <w:color w:val="auto"/>
          <w:highlight w:val="none"/>
        </w:rPr>
        <w:t>格式自拟，或参照《承诺及声明函》的格式提供承诺函。</w:t>
      </w:r>
    </w:p>
    <w:p>
      <w:pPr>
        <w:pStyle w:val="34"/>
        <w:numPr>
          <w:ilvl w:val="1"/>
          <w:numId w:val="31"/>
        </w:numPr>
        <w:spacing w:line="520" w:lineRule="exact"/>
        <w:ind w:firstLine="482"/>
        <w:rPr>
          <w:rFonts w:hint="eastAsia" w:ascii="宋体" w:hAnsi="宋体" w:eastAsia="宋体" w:cs="宋体"/>
          <w:b/>
          <w:bCs/>
          <w:color w:val="auto"/>
          <w:highlight w:val="none"/>
        </w:rPr>
      </w:pPr>
      <w:r>
        <w:rPr>
          <w:rFonts w:hint="eastAsia" w:ascii="宋体" w:hAnsi="宋体" w:eastAsia="宋体" w:cs="宋体"/>
          <w:b/>
          <w:bCs/>
          <w:color w:val="auto"/>
          <w:highlight w:val="none"/>
        </w:rPr>
        <w:t>提供有效的投标保证金提交凭证</w:t>
      </w:r>
    </w:p>
    <w:p>
      <w:pPr>
        <w:pStyle w:val="48"/>
        <w:rPr>
          <w:rFonts w:hint="eastAsia" w:ascii="宋体" w:hAnsi="宋体" w:eastAsia="宋体" w:cs="宋体"/>
          <w:bCs/>
          <w:color w:val="auto"/>
          <w:highlight w:val="none"/>
        </w:rPr>
      </w:pPr>
      <w:r>
        <w:rPr>
          <w:rFonts w:hint="eastAsia" w:ascii="宋体" w:hAnsi="宋体" w:eastAsia="宋体" w:cs="宋体"/>
          <w:bCs/>
          <w:color w:val="auto"/>
          <w:highlight w:val="none"/>
        </w:rPr>
        <w:t>①提交投标保证金的银行回单复印件；</w:t>
      </w:r>
    </w:p>
    <w:p>
      <w:pPr>
        <w:pStyle w:val="48"/>
        <w:rPr>
          <w:rFonts w:hint="eastAsia" w:ascii="宋体" w:hAnsi="宋体" w:eastAsia="宋体" w:cs="宋体"/>
          <w:color w:val="auto"/>
          <w:highlight w:val="none"/>
        </w:rPr>
      </w:pPr>
      <w:r>
        <w:rPr>
          <w:rFonts w:hint="eastAsia" w:ascii="宋体" w:hAnsi="宋体" w:eastAsia="宋体" w:cs="宋体"/>
          <w:bCs/>
          <w:color w:val="auto"/>
          <w:highlight w:val="none"/>
        </w:rPr>
        <w:t>②若以保函方式提交投标保证金的，提供保函原件。</w:t>
      </w:r>
    </w:p>
    <w:p>
      <w:pPr>
        <w:pStyle w:val="49"/>
        <w:spacing w:line="520" w:lineRule="exact"/>
        <w:ind w:firstLine="482"/>
        <w:rPr>
          <w:color w:val="auto"/>
          <w:highlight w:val="none"/>
        </w:rPr>
      </w:pPr>
      <w:r>
        <w:rPr>
          <w:rFonts w:hint="eastAsia"/>
          <w:color w:val="auto"/>
          <w:highlight w:val="none"/>
        </w:rPr>
        <w:t>备注：①以上承诺及声明函可参照第三章投标文件格式中相关格式或自拟格式填写均有效。</w:t>
      </w:r>
    </w:p>
    <w:p>
      <w:pPr>
        <w:pStyle w:val="49"/>
        <w:spacing w:line="520" w:lineRule="exact"/>
        <w:ind w:firstLine="482"/>
        <w:rPr>
          <w:color w:val="auto"/>
          <w:highlight w:val="none"/>
        </w:rPr>
      </w:pPr>
      <w:r>
        <w:rPr>
          <w:rFonts w:hint="eastAsia"/>
          <w:color w:val="auto"/>
          <w:highlight w:val="none"/>
        </w:rPr>
        <w:t>②以上要求提供的相关证明材料须加盖投标人公章，否则其资格审查作未通过处理。</w:t>
      </w:r>
    </w:p>
    <w:p>
      <w:pPr>
        <w:pStyle w:val="49"/>
        <w:spacing w:line="520" w:lineRule="exact"/>
        <w:ind w:firstLine="482"/>
        <w:rPr>
          <w:color w:val="auto"/>
          <w:highlight w:val="none"/>
        </w:rPr>
      </w:pPr>
      <w:r>
        <w:rPr>
          <w:rFonts w:hint="eastAsia"/>
          <w:color w:val="auto"/>
          <w:highlight w:val="none"/>
        </w:rPr>
        <w:t>③本项目资格审查仅限于本章涉及的所有内容，若供应商未按照以上要求提供齐全，其资格审查作未通过处理。</w:t>
      </w:r>
    </w:p>
    <w:p>
      <w:pPr>
        <w:pStyle w:val="49"/>
        <w:spacing w:line="520" w:lineRule="exact"/>
        <w:ind w:firstLine="482"/>
        <w:rPr>
          <w:color w:val="auto"/>
          <w:highlight w:val="none"/>
        </w:rPr>
      </w:pPr>
      <w:r>
        <w:rPr>
          <w:rFonts w:hint="eastAsia"/>
          <w:color w:val="auto"/>
          <w:highlight w:val="none"/>
        </w:rPr>
        <w:t>④投标人应对其所提供的资格证明材料来源的合法性、真实性承担法律责任。</w:t>
      </w:r>
    </w:p>
    <w:p>
      <w:pPr>
        <w:pStyle w:val="49"/>
        <w:spacing w:line="520" w:lineRule="exact"/>
        <w:ind w:firstLine="482"/>
        <w:rPr>
          <w:color w:val="auto"/>
          <w:highlight w:val="none"/>
        </w:rPr>
      </w:pPr>
      <w:r>
        <w:rPr>
          <w:rFonts w:hint="eastAsia"/>
          <w:color w:val="auto"/>
          <w:highlight w:val="none"/>
        </w:rPr>
        <w:t>⑤以上要求提供的相关证明材料应当结合采购项目具体情况和投标人的组织机构性质确定，不得一概而论。</w:t>
      </w:r>
    </w:p>
    <w:p>
      <w:pPr>
        <w:pStyle w:val="36"/>
        <w:numPr>
          <w:ilvl w:val="1"/>
          <w:numId w:val="15"/>
        </w:numPr>
        <w:spacing w:line="520" w:lineRule="exact"/>
        <w:ind w:firstLine="482"/>
        <w:rPr>
          <w:color w:val="auto"/>
          <w:highlight w:val="none"/>
        </w:rPr>
      </w:pPr>
      <w:bookmarkStart w:id="1085" w:name="_Toc26829"/>
      <w:bookmarkStart w:id="1086" w:name="_Toc25264"/>
      <w:bookmarkStart w:id="1087" w:name="_Toc14213"/>
      <w:r>
        <w:rPr>
          <w:rFonts w:hint="eastAsia"/>
          <w:color w:val="auto"/>
          <w:highlight w:val="none"/>
        </w:rPr>
        <w:t>审查程序</w:t>
      </w:r>
      <w:bookmarkEnd w:id="1081"/>
      <w:bookmarkEnd w:id="1082"/>
      <w:bookmarkEnd w:id="1083"/>
      <w:bookmarkEnd w:id="1085"/>
      <w:bookmarkEnd w:id="1086"/>
      <w:bookmarkEnd w:id="1087"/>
    </w:p>
    <w:p>
      <w:pPr>
        <w:pStyle w:val="34"/>
        <w:numPr>
          <w:ilvl w:val="1"/>
          <w:numId w:val="32"/>
        </w:numPr>
        <w:spacing w:line="520" w:lineRule="exact"/>
        <w:ind w:firstLine="480"/>
        <w:rPr>
          <w:color w:val="auto"/>
          <w:highlight w:val="none"/>
        </w:rPr>
      </w:pPr>
      <w:r>
        <w:rPr>
          <w:rFonts w:hint="eastAsia"/>
          <w:color w:val="auto"/>
          <w:highlight w:val="none"/>
          <w:lang w:val="en-US" w:eastAsia="zh-CN"/>
        </w:rPr>
        <w:t>参照</w:t>
      </w:r>
      <w:r>
        <w:rPr>
          <w:rFonts w:hint="eastAsia"/>
          <w:color w:val="auto"/>
          <w:highlight w:val="none"/>
        </w:rPr>
        <w:t>《政府采购货物和服务招标投标管理办法》(财政部令第87号)第四十四条对投标人的资格进行审查。</w:t>
      </w:r>
    </w:p>
    <w:p>
      <w:pPr>
        <w:pStyle w:val="34"/>
        <w:numPr>
          <w:ilvl w:val="1"/>
          <w:numId w:val="32"/>
        </w:numPr>
        <w:spacing w:line="520" w:lineRule="exact"/>
        <w:ind w:firstLine="480"/>
        <w:rPr>
          <w:color w:val="auto"/>
          <w:highlight w:val="none"/>
        </w:rPr>
      </w:pPr>
      <w:r>
        <w:rPr>
          <w:rFonts w:hint="eastAsia"/>
          <w:color w:val="auto"/>
          <w:highlight w:val="none"/>
        </w:rPr>
        <w:t>本项目由采购人或者采购代理机构依法对投标人的资格进行审查，并出具书面的资格性审查结果。</w:t>
      </w:r>
    </w:p>
    <w:p>
      <w:pPr>
        <w:pStyle w:val="34"/>
        <w:numPr>
          <w:ilvl w:val="1"/>
          <w:numId w:val="32"/>
        </w:numPr>
        <w:spacing w:line="520" w:lineRule="exact"/>
        <w:ind w:firstLine="480"/>
        <w:rPr>
          <w:color w:val="auto"/>
          <w:highlight w:val="none"/>
        </w:rPr>
      </w:pPr>
      <w:r>
        <w:rPr>
          <w:rFonts w:hint="eastAsia"/>
          <w:color w:val="auto"/>
          <w:highlight w:val="none"/>
        </w:rPr>
        <w:t>合格投标人不足3家的，不得评标，采购失败。</w:t>
      </w:r>
    </w:p>
    <w:p>
      <w:pPr>
        <w:pStyle w:val="50"/>
        <w:numPr>
          <w:ilvl w:val="0"/>
          <w:numId w:val="15"/>
        </w:numPr>
        <w:spacing w:before="120" w:after="120"/>
        <w:rPr>
          <w:color w:val="auto"/>
          <w:highlight w:val="none"/>
        </w:rPr>
      </w:pPr>
      <w:r>
        <w:rPr>
          <w:rFonts w:hint="eastAsia"/>
          <w:color w:val="auto"/>
          <w:highlight w:val="none"/>
        </w:rPr>
        <w:br w:type="page"/>
      </w:r>
      <w:bookmarkEnd w:id="1084"/>
      <w:bookmarkStart w:id="1088" w:name="_Toc14040"/>
      <w:bookmarkStart w:id="1089" w:name="_Toc5955"/>
      <w:bookmarkStart w:id="1090" w:name="_Toc14530"/>
      <w:bookmarkStart w:id="1091" w:name="_Toc32196"/>
      <w:r>
        <w:rPr>
          <w:rFonts w:hint="eastAsia"/>
          <w:color w:val="auto"/>
          <w:highlight w:val="none"/>
        </w:rPr>
        <w:t>招标项目技术、服务、</w:t>
      </w:r>
      <w:r>
        <w:rPr>
          <w:rFonts w:hint="eastAsia"/>
          <w:color w:val="auto"/>
          <w:highlight w:val="none"/>
          <w:lang w:eastAsia="zh-CN"/>
        </w:rPr>
        <w:t>采购合同</w:t>
      </w:r>
      <w:r>
        <w:rPr>
          <w:rFonts w:hint="eastAsia"/>
          <w:color w:val="auto"/>
          <w:highlight w:val="none"/>
        </w:rPr>
        <w:t>内容条款及其他商务要求</w:t>
      </w:r>
      <w:bookmarkEnd w:id="1088"/>
      <w:bookmarkEnd w:id="1089"/>
      <w:bookmarkEnd w:id="1090"/>
      <w:bookmarkEnd w:id="1091"/>
    </w:p>
    <w:p>
      <w:pPr>
        <w:pStyle w:val="36"/>
        <w:keepNext w:val="0"/>
        <w:keepLines w:val="0"/>
        <w:pageBreakBefore w:val="0"/>
        <w:widowControl w:val="0"/>
        <w:kinsoku/>
        <w:overflowPunct/>
        <w:autoSpaceDE/>
        <w:autoSpaceDN/>
        <w:bidi w:val="0"/>
        <w:spacing w:line="520" w:lineRule="exact"/>
        <w:ind w:leftChars="0" w:firstLine="482" w:firstLineChars="200"/>
        <w:textAlignment w:val="auto"/>
        <w:rPr>
          <w:rFonts w:hint="eastAsia"/>
          <w:color w:val="auto"/>
          <w:highlight w:val="none"/>
        </w:rPr>
      </w:pPr>
      <w:bookmarkStart w:id="1092" w:name="_Toc8043"/>
      <w:bookmarkStart w:id="1093" w:name="_Toc30322"/>
      <w:bookmarkStart w:id="1094" w:name="_Toc1684"/>
      <w:bookmarkStart w:id="1095" w:name="_Toc27469"/>
      <w:bookmarkStart w:id="1096" w:name="_Toc28932"/>
      <w:bookmarkStart w:id="1097" w:name="_Toc1839"/>
      <w:bookmarkStart w:id="1098" w:name="_Toc29864"/>
      <w:bookmarkStart w:id="1099" w:name="_Toc308188201"/>
      <w:bookmarkStart w:id="1100" w:name="_Toc307501157"/>
      <w:bookmarkStart w:id="1101" w:name="_Toc32159"/>
      <w:bookmarkStart w:id="1102" w:name="_Toc307564899"/>
      <w:bookmarkStart w:id="1103" w:name="_Toc319440192"/>
      <w:bookmarkStart w:id="1104" w:name="_Toc23360"/>
      <w:bookmarkStart w:id="1105" w:name="_Toc309897566"/>
      <w:bookmarkStart w:id="1106" w:name="_Toc12025"/>
      <w:bookmarkStart w:id="1107" w:name="_Toc327196343"/>
      <w:bookmarkStart w:id="1108" w:name="_Toc319439948"/>
      <w:bookmarkStart w:id="1109" w:name="_Toc1541"/>
      <w:bookmarkStart w:id="1110" w:name="_Toc308084648"/>
      <w:bookmarkStart w:id="1111" w:name="_Toc217446060"/>
      <w:bookmarkStart w:id="1112" w:name="_Toc217446099"/>
      <w:r>
        <w:rPr>
          <w:rFonts w:hint="eastAsia"/>
          <w:color w:val="auto"/>
          <w:highlight w:val="none"/>
          <w:lang w:val="en-US" w:eastAsia="zh-CN"/>
        </w:rPr>
        <w:t>项目概况</w:t>
      </w:r>
      <w:bookmarkEnd w:id="1092"/>
      <w:bookmarkEnd w:id="1093"/>
    </w:p>
    <w:p>
      <w:pPr>
        <w:pStyle w:val="44"/>
        <w:keepNext w:val="0"/>
        <w:keepLines w:val="0"/>
        <w:pageBreakBefore w:val="0"/>
        <w:widowControl w:val="0"/>
        <w:kinsoku/>
        <w:wordWrap w:val="0"/>
        <w:overflowPunct/>
        <w:topLinePunct/>
        <w:autoSpaceDE/>
        <w:autoSpaceDN/>
        <w:bidi w:val="0"/>
        <w:adjustRightInd w:val="0"/>
        <w:snapToGrid w:val="0"/>
        <w:spacing w:line="520" w:lineRule="exact"/>
        <w:ind w:leftChars="0" w:firstLine="480" w:firstLineChars="200"/>
        <w:textAlignment w:val="auto"/>
        <w:rPr>
          <w:rFonts w:hint="default" w:eastAsia="宋体"/>
          <w:color w:val="auto"/>
          <w:highlight w:val="none"/>
          <w:lang w:val="en-US" w:eastAsia="zh-CN"/>
        </w:rPr>
      </w:pPr>
      <w:r>
        <w:rPr>
          <w:rFonts w:hint="eastAsia"/>
          <w:color w:val="auto"/>
          <w:highlight w:val="none"/>
          <w:lang w:val="en-US" w:eastAsia="zh-CN"/>
        </w:rPr>
        <w:t>为满足成都市技师学院(成都工贸职业技术学院)四个校区2023级新生工装需求，规范学生着装，提升学校整体形象，拟确定一名供应商提供工装测量、制作、发售等相关服务；涉及工装采购的有四个校区(总院、西校区、新都校区、成华校区)，计划招生约为：4500人，其中中职1300人，高职：3200人(最终以实际招生为准)。</w:t>
      </w:r>
    </w:p>
    <w:p>
      <w:pPr>
        <w:pStyle w:val="36"/>
        <w:keepNext w:val="0"/>
        <w:keepLines w:val="0"/>
        <w:pageBreakBefore w:val="0"/>
        <w:widowControl w:val="0"/>
        <w:kinsoku/>
        <w:overflowPunct/>
        <w:autoSpaceDE/>
        <w:autoSpaceDN/>
        <w:bidi w:val="0"/>
        <w:spacing w:line="520" w:lineRule="exact"/>
        <w:ind w:leftChars="0" w:firstLine="482" w:firstLineChars="200"/>
        <w:textAlignment w:val="auto"/>
        <w:rPr>
          <w:rFonts w:hint="eastAsia"/>
          <w:color w:val="auto"/>
          <w:highlight w:val="none"/>
          <w:lang w:val="en-US" w:eastAsia="zh-CN"/>
        </w:rPr>
      </w:pPr>
      <w:bookmarkStart w:id="1113" w:name="_Toc15470"/>
      <w:bookmarkStart w:id="1114" w:name="_Toc2130"/>
      <w:bookmarkStart w:id="1115" w:name="_Toc2567_WPSOffice_Level2"/>
      <w:bookmarkStart w:id="1116" w:name="_Toc25039"/>
      <w:r>
        <w:rPr>
          <w:rFonts w:hint="eastAsia"/>
          <w:color w:val="auto"/>
          <w:highlight w:val="none"/>
          <w:lang w:val="en-US" w:eastAsia="zh-CN"/>
        </w:rPr>
        <w:t>★采购标的</w:t>
      </w:r>
      <w:bookmarkEnd w:id="1113"/>
      <w:bookmarkEnd w:id="1114"/>
    </w:p>
    <w:bookmarkEnd w:id="1115"/>
    <w:bookmarkEnd w:id="1116"/>
    <w:tbl>
      <w:tblPr>
        <w:tblStyle w:val="23"/>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1465"/>
        <w:gridCol w:w="3846"/>
        <w:gridCol w:w="910"/>
        <w:gridCol w:w="1059"/>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b/>
                <w:bCs/>
                <w:sz w:val="21"/>
                <w:szCs w:val="21"/>
              </w:rPr>
            </w:pPr>
            <w:bookmarkStart w:id="1117" w:name="_Toc12968"/>
            <w:bookmarkStart w:id="1118" w:name="_Toc32181"/>
            <w:r>
              <w:rPr>
                <w:rFonts w:hint="eastAsia" w:ascii="宋体" w:hAnsi="宋体" w:eastAsia="宋体" w:cs="宋体"/>
                <w:b/>
                <w:bCs/>
                <w:color w:val="auto"/>
                <w:sz w:val="21"/>
                <w:szCs w:val="21"/>
                <w:highlight w:val="none"/>
              </w:rPr>
              <w:t>序号</w:t>
            </w:r>
          </w:p>
        </w:tc>
        <w:tc>
          <w:tcPr>
            <w:tcW w:w="2672"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color w:val="auto"/>
                <w:sz w:val="21"/>
                <w:szCs w:val="21"/>
                <w:highlight w:val="none"/>
              </w:rPr>
              <w:t>标的名称</w:t>
            </w:r>
          </w:p>
        </w:tc>
        <w:tc>
          <w:tcPr>
            <w:tcW w:w="4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color w:val="auto"/>
                <w:sz w:val="21"/>
                <w:szCs w:val="21"/>
                <w:highlight w:val="none"/>
              </w:rPr>
              <w:t>数量</w:t>
            </w:r>
          </w:p>
        </w:tc>
        <w:tc>
          <w:tcPr>
            <w:tcW w:w="5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color w:val="auto"/>
                <w:sz w:val="21"/>
                <w:szCs w:val="21"/>
                <w:highlight w:val="none"/>
              </w:rPr>
              <w:t>单位</w:t>
            </w:r>
          </w:p>
        </w:tc>
        <w:tc>
          <w:tcPr>
            <w:tcW w:w="9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单价最高限价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lang w:val="en-US" w:eastAsia="zh-CN"/>
              </w:rPr>
              <w:t>1</w:t>
            </w:r>
          </w:p>
        </w:tc>
        <w:tc>
          <w:tcPr>
            <w:tcW w:w="73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color w:val="auto"/>
                <w:sz w:val="21"/>
                <w:szCs w:val="21"/>
                <w:highlight w:val="none"/>
              </w:rPr>
              <w:t>A1工装套装</w:t>
            </w:r>
          </w:p>
        </w:tc>
        <w:tc>
          <w:tcPr>
            <w:tcW w:w="19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auto"/>
                <w:sz w:val="21"/>
                <w:szCs w:val="21"/>
                <w:highlight w:val="none"/>
              </w:rPr>
              <w:t>长袖茄克套装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含上衣</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下装</w:t>
            </w:r>
            <w:r>
              <w:rPr>
                <w:rFonts w:hint="eastAsia" w:ascii="宋体" w:hAnsi="宋体" w:eastAsia="宋体" w:cs="宋体"/>
                <w:color w:val="auto"/>
                <w:sz w:val="21"/>
                <w:szCs w:val="21"/>
                <w:highlight w:val="none"/>
                <w:lang w:eastAsia="zh-CN"/>
              </w:rPr>
              <w:t>)</w:t>
            </w:r>
          </w:p>
        </w:tc>
        <w:tc>
          <w:tcPr>
            <w:tcW w:w="4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auto"/>
                <w:sz w:val="21"/>
                <w:szCs w:val="21"/>
                <w:highlight w:val="none"/>
              </w:rPr>
              <w:t>1</w:t>
            </w:r>
          </w:p>
        </w:tc>
        <w:tc>
          <w:tcPr>
            <w:tcW w:w="5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auto"/>
                <w:sz w:val="21"/>
                <w:szCs w:val="21"/>
                <w:highlight w:val="none"/>
              </w:rPr>
              <w:t>套</w:t>
            </w:r>
          </w:p>
        </w:tc>
        <w:tc>
          <w:tcPr>
            <w:tcW w:w="90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350</w:t>
            </w:r>
            <w:r>
              <w:rPr>
                <w:rFonts w:hint="eastAsia" w:ascii="宋体" w:hAnsi="宋体" w:eastAsia="宋体" w:cs="宋体"/>
                <w:color w:val="auto"/>
                <w:sz w:val="21"/>
                <w:szCs w:val="21"/>
              </w:rPr>
              <w:t>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c>
          <w:tcPr>
            <w:tcW w:w="73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c>
          <w:tcPr>
            <w:tcW w:w="19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夏季工装下装</w:t>
            </w:r>
          </w:p>
        </w:tc>
        <w:tc>
          <w:tcPr>
            <w:tcW w:w="4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5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auto"/>
                <w:sz w:val="21"/>
                <w:szCs w:val="21"/>
                <w:highlight w:val="none"/>
                <w:lang w:eastAsia="zh-CN"/>
              </w:rPr>
              <w:t>条</w:t>
            </w:r>
          </w:p>
        </w:tc>
        <w:tc>
          <w:tcPr>
            <w:tcW w:w="90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c>
          <w:tcPr>
            <w:tcW w:w="73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c>
          <w:tcPr>
            <w:tcW w:w="19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夏季上装短袖T恤</w:t>
            </w:r>
          </w:p>
        </w:tc>
        <w:tc>
          <w:tcPr>
            <w:tcW w:w="4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1</w:t>
            </w:r>
          </w:p>
        </w:tc>
        <w:tc>
          <w:tcPr>
            <w:tcW w:w="5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auto"/>
                <w:sz w:val="21"/>
                <w:szCs w:val="21"/>
                <w:highlight w:val="none"/>
              </w:rPr>
              <w:t>件</w:t>
            </w:r>
          </w:p>
        </w:tc>
        <w:tc>
          <w:tcPr>
            <w:tcW w:w="90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t>2</w:t>
            </w:r>
          </w:p>
        </w:tc>
        <w:tc>
          <w:tcPr>
            <w:tcW w:w="73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t>A2西装套装</w:t>
            </w:r>
          </w:p>
        </w:tc>
        <w:tc>
          <w:tcPr>
            <w:tcW w:w="19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lang w:eastAsia="zh-CN"/>
              </w:rPr>
              <w:t>男</w:t>
            </w:r>
            <w:r>
              <w:rPr>
                <w:rFonts w:hint="eastAsia" w:ascii="宋体" w:hAnsi="宋体" w:eastAsia="宋体" w:cs="宋体"/>
                <w:color w:val="auto"/>
                <w:sz w:val="21"/>
                <w:szCs w:val="21"/>
                <w:highlight w:val="none"/>
              </w:rPr>
              <w:t>西服套装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含上衣</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下装</w:t>
            </w:r>
            <w:r>
              <w:rPr>
                <w:rFonts w:hint="eastAsia" w:ascii="宋体" w:hAnsi="宋体" w:eastAsia="宋体" w:cs="宋体"/>
                <w:color w:val="auto"/>
                <w:sz w:val="21"/>
                <w:szCs w:val="21"/>
                <w:highlight w:val="none"/>
                <w:lang w:eastAsia="zh-CN"/>
              </w:rPr>
              <w:t>)、女</w:t>
            </w:r>
            <w:r>
              <w:rPr>
                <w:rFonts w:hint="eastAsia" w:ascii="宋体" w:hAnsi="宋体" w:eastAsia="宋体" w:cs="宋体"/>
                <w:color w:val="auto"/>
                <w:sz w:val="21"/>
                <w:szCs w:val="21"/>
                <w:highlight w:val="none"/>
              </w:rPr>
              <w:t>西服套装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含上衣</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下装</w:t>
            </w:r>
            <w:r>
              <w:rPr>
                <w:rFonts w:hint="eastAsia" w:ascii="宋体" w:hAnsi="宋体" w:eastAsia="宋体" w:cs="宋体"/>
                <w:color w:val="auto"/>
                <w:sz w:val="21"/>
                <w:szCs w:val="21"/>
                <w:highlight w:val="none"/>
                <w:lang w:eastAsia="zh-CN"/>
              </w:rPr>
              <w:t>、齐膝裙)</w:t>
            </w:r>
          </w:p>
        </w:tc>
        <w:tc>
          <w:tcPr>
            <w:tcW w:w="4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1</w:t>
            </w:r>
          </w:p>
        </w:tc>
        <w:tc>
          <w:tcPr>
            <w:tcW w:w="5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套</w:t>
            </w:r>
          </w:p>
        </w:tc>
        <w:tc>
          <w:tcPr>
            <w:tcW w:w="90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5</w:t>
            </w:r>
            <w:r>
              <w:rPr>
                <w:rFonts w:hint="eastAsia" w:ascii="宋体" w:hAnsi="宋体" w:eastAsia="宋体" w:cs="宋体"/>
                <w:color w:val="auto"/>
                <w:sz w:val="21"/>
                <w:szCs w:val="21"/>
                <w:lang w:val="en-US" w:eastAsia="zh-CN"/>
              </w:rPr>
              <w:t>00</w:t>
            </w:r>
            <w:r>
              <w:rPr>
                <w:rFonts w:hint="eastAsia" w:ascii="宋体" w:hAnsi="宋体" w:eastAsia="宋体" w:cs="宋体"/>
                <w:color w:val="auto"/>
                <w:sz w:val="21"/>
                <w:szCs w:val="21"/>
              </w:rPr>
              <w:t>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c>
          <w:tcPr>
            <w:tcW w:w="73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c>
          <w:tcPr>
            <w:tcW w:w="19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长袖衬衫</w:t>
            </w:r>
          </w:p>
        </w:tc>
        <w:tc>
          <w:tcPr>
            <w:tcW w:w="4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1</w:t>
            </w:r>
          </w:p>
        </w:tc>
        <w:tc>
          <w:tcPr>
            <w:tcW w:w="5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件</w:t>
            </w:r>
          </w:p>
        </w:tc>
        <w:tc>
          <w:tcPr>
            <w:tcW w:w="90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c>
          <w:tcPr>
            <w:tcW w:w="73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c>
          <w:tcPr>
            <w:tcW w:w="19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领带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仅男西装套装含</w:t>
            </w:r>
            <w:r>
              <w:rPr>
                <w:rFonts w:hint="eastAsia" w:ascii="宋体" w:hAnsi="宋体" w:eastAsia="宋体" w:cs="宋体"/>
                <w:color w:val="auto"/>
                <w:sz w:val="21"/>
                <w:szCs w:val="21"/>
                <w:highlight w:val="none"/>
                <w:lang w:eastAsia="zh-CN"/>
              </w:rPr>
              <w:t>)</w:t>
            </w:r>
          </w:p>
        </w:tc>
        <w:tc>
          <w:tcPr>
            <w:tcW w:w="4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p>
        </w:tc>
        <w:tc>
          <w:tcPr>
            <w:tcW w:w="5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条</w:t>
            </w:r>
          </w:p>
        </w:tc>
        <w:tc>
          <w:tcPr>
            <w:tcW w:w="90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t>3</w:t>
            </w:r>
          </w:p>
        </w:tc>
        <w:tc>
          <w:tcPr>
            <w:tcW w:w="73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color w:val="auto"/>
                <w:sz w:val="21"/>
                <w:szCs w:val="21"/>
                <w:highlight w:val="none"/>
              </w:rPr>
              <w:t>B1工装套装</w:t>
            </w:r>
          </w:p>
        </w:tc>
        <w:tc>
          <w:tcPr>
            <w:tcW w:w="19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长袖茄克套装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含上衣</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下装</w:t>
            </w:r>
            <w:r>
              <w:rPr>
                <w:rFonts w:hint="eastAsia" w:ascii="宋体" w:hAnsi="宋体" w:eastAsia="宋体" w:cs="宋体"/>
                <w:color w:val="auto"/>
                <w:sz w:val="21"/>
                <w:szCs w:val="21"/>
                <w:highlight w:val="none"/>
                <w:lang w:eastAsia="zh-CN"/>
              </w:rPr>
              <w:t>)</w:t>
            </w:r>
          </w:p>
        </w:tc>
        <w:tc>
          <w:tcPr>
            <w:tcW w:w="4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1</w:t>
            </w:r>
          </w:p>
        </w:tc>
        <w:tc>
          <w:tcPr>
            <w:tcW w:w="5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套</w:t>
            </w:r>
          </w:p>
        </w:tc>
        <w:tc>
          <w:tcPr>
            <w:tcW w:w="90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r>
              <w:rPr>
                <w:rFonts w:hint="eastAsia" w:ascii="宋体" w:hAnsi="宋体" w:eastAsia="宋体" w:cs="宋体"/>
                <w:color w:val="auto"/>
                <w:sz w:val="21"/>
                <w:szCs w:val="21"/>
                <w:lang w:val="en-US" w:eastAsia="zh-CN"/>
              </w:rPr>
              <w:t>60</w:t>
            </w:r>
            <w:r>
              <w:rPr>
                <w:rFonts w:hint="eastAsia" w:ascii="宋体" w:hAnsi="宋体" w:eastAsia="宋体" w:cs="宋体"/>
                <w:color w:val="auto"/>
                <w:sz w:val="21"/>
                <w:szCs w:val="21"/>
              </w:rPr>
              <w:t>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c>
          <w:tcPr>
            <w:tcW w:w="73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c>
          <w:tcPr>
            <w:tcW w:w="19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短袖茄克</w:t>
            </w:r>
          </w:p>
        </w:tc>
        <w:tc>
          <w:tcPr>
            <w:tcW w:w="4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FF"/>
                <w:sz w:val="21"/>
                <w:szCs w:val="21"/>
              </w:rPr>
            </w:pPr>
            <w:r>
              <w:rPr>
                <w:rFonts w:hint="eastAsia" w:ascii="宋体" w:hAnsi="宋体" w:eastAsia="宋体" w:cs="宋体"/>
                <w:color w:val="auto"/>
                <w:sz w:val="21"/>
                <w:szCs w:val="21"/>
                <w:highlight w:val="none"/>
              </w:rPr>
              <w:t>1</w:t>
            </w:r>
          </w:p>
        </w:tc>
        <w:tc>
          <w:tcPr>
            <w:tcW w:w="5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FF"/>
                <w:sz w:val="21"/>
                <w:szCs w:val="21"/>
              </w:rPr>
            </w:pPr>
            <w:r>
              <w:rPr>
                <w:rFonts w:hint="eastAsia" w:ascii="宋体" w:hAnsi="宋体" w:eastAsia="宋体" w:cs="宋体"/>
                <w:color w:val="auto"/>
                <w:sz w:val="21"/>
                <w:szCs w:val="21"/>
                <w:highlight w:val="none"/>
              </w:rPr>
              <w:t>件</w:t>
            </w:r>
          </w:p>
        </w:tc>
        <w:tc>
          <w:tcPr>
            <w:tcW w:w="90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c>
          <w:tcPr>
            <w:tcW w:w="73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c>
          <w:tcPr>
            <w:tcW w:w="19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短袖T恤</w:t>
            </w:r>
          </w:p>
        </w:tc>
        <w:tc>
          <w:tcPr>
            <w:tcW w:w="4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FF"/>
                <w:sz w:val="21"/>
                <w:szCs w:val="21"/>
              </w:rPr>
            </w:pPr>
            <w:r>
              <w:rPr>
                <w:rFonts w:hint="eastAsia" w:ascii="宋体" w:hAnsi="宋体" w:eastAsia="宋体" w:cs="宋体"/>
                <w:color w:val="auto"/>
                <w:sz w:val="21"/>
                <w:szCs w:val="21"/>
                <w:highlight w:val="none"/>
              </w:rPr>
              <w:t>1</w:t>
            </w:r>
          </w:p>
        </w:tc>
        <w:tc>
          <w:tcPr>
            <w:tcW w:w="5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FF"/>
                <w:sz w:val="21"/>
                <w:szCs w:val="21"/>
              </w:rPr>
            </w:pPr>
            <w:r>
              <w:rPr>
                <w:rFonts w:hint="eastAsia" w:ascii="宋体" w:hAnsi="宋体" w:eastAsia="宋体" w:cs="宋体"/>
                <w:color w:val="auto"/>
                <w:sz w:val="21"/>
                <w:szCs w:val="21"/>
                <w:highlight w:val="none"/>
              </w:rPr>
              <w:t>件</w:t>
            </w:r>
          </w:p>
        </w:tc>
        <w:tc>
          <w:tcPr>
            <w:tcW w:w="90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rPr>
              <w:t>4</w:t>
            </w:r>
          </w:p>
        </w:tc>
        <w:tc>
          <w:tcPr>
            <w:tcW w:w="73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B2西服套装</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c>
          <w:tcPr>
            <w:tcW w:w="19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西服套装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含上衣</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下装</w:t>
            </w:r>
            <w:r>
              <w:rPr>
                <w:rFonts w:hint="eastAsia" w:ascii="宋体" w:hAnsi="宋体" w:eastAsia="宋体" w:cs="宋体"/>
                <w:color w:val="auto"/>
                <w:sz w:val="21"/>
                <w:szCs w:val="21"/>
                <w:highlight w:val="none"/>
                <w:lang w:eastAsia="zh-CN"/>
              </w:rPr>
              <w:t>)</w:t>
            </w:r>
          </w:p>
        </w:tc>
        <w:tc>
          <w:tcPr>
            <w:tcW w:w="4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1</w:t>
            </w:r>
          </w:p>
        </w:tc>
        <w:tc>
          <w:tcPr>
            <w:tcW w:w="5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套</w:t>
            </w:r>
          </w:p>
        </w:tc>
        <w:tc>
          <w:tcPr>
            <w:tcW w:w="90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50</w:t>
            </w:r>
            <w:r>
              <w:rPr>
                <w:rFonts w:hint="eastAsia" w:ascii="宋体" w:hAnsi="宋体" w:eastAsia="宋体" w:cs="宋体"/>
                <w:color w:val="auto"/>
                <w:sz w:val="21"/>
                <w:szCs w:val="21"/>
                <w:highlight w:val="none"/>
              </w:rPr>
              <w:t>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c>
          <w:tcPr>
            <w:tcW w:w="73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c>
          <w:tcPr>
            <w:tcW w:w="19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长袖衬衫</w:t>
            </w:r>
          </w:p>
        </w:tc>
        <w:tc>
          <w:tcPr>
            <w:tcW w:w="4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1</w:t>
            </w:r>
          </w:p>
        </w:tc>
        <w:tc>
          <w:tcPr>
            <w:tcW w:w="5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件</w:t>
            </w:r>
          </w:p>
        </w:tc>
        <w:tc>
          <w:tcPr>
            <w:tcW w:w="90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c>
          <w:tcPr>
            <w:tcW w:w="73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c>
          <w:tcPr>
            <w:tcW w:w="19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lang w:eastAsia="zh-CN"/>
              </w:rPr>
              <w:t>短</w:t>
            </w:r>
            <w:r>
              <w:rPr>
                <w:rFonts w:hint="eastAsia" w:ascii="宋体" w:hAnsi="宋体" w:eastAsia="宋体" w:cs="宋体"/>
                <w:color w:val="auto"/>
                <w:sz w:val="21"/>
                <w:szCs w:val="21"/>
                <w:highlight w:val="none"/>
              </w:rPr>
              <w:t>袖衬衫</w:t>
            </w:r>
          </w:p>
        </w:tc>
        <w:tc>
          <w:tcPr>
            <w:tcW w:w="4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1</w:t>
            </w:r>
          </w:p>
        </w:tc>
        <w:tc>
          <w:tcPr>
            <w:tcW w:w="5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件</w:t>
            </w:r>
          </w:p>
        </w:tc>
        <w:tc>
          <w:tcPr>
            <w:tcW w:w="90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c>
          <w:tcPr>
            <w:tcW w:w="73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c>
          <w:tcPr>
            <w:tcW w:w="19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领带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仅男西装套装含</w:t>
            </w:r>
            <w:r>
              <w:rPr>
                <w:rFonts w:hint="eastAsia" w:ascii="宋体" w:hAnsi="宋体" w:eastAsia="宋体" w:cs="宋体"/>
                <w:color w:val="auto"/>
                <w:sz w:val="21"/>
                <w:szCs w:val="21"/>
                <w:highlight w:val="none"/>
                <w:lang w:eastAsia="zh-CN"/>
              </w:rPr>
              <w:t>)</w:t>
            </w:r>
          </w:p>
        </w:tc>
        <w:tc>
          <w:tcPr>
            <w:tcW w:w="4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1</w:t>
            </w:r>
          </w:p>
        </w:tc>
        <w:tc>
          <w:tcPr>
            <w:tcW w:w="5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条</w:t>
            </w:r>
          </w:p>
        </w:tc>
        <w:tc>
          <w:tcPr>
            <w:tcW w:w="90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c>
          <w:tcPr>
            <w:tcW w:w="737"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p>
        </w:tc>
        <w:tc>
          <w:tcPr>
            <w:tcW w:w="19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短袖T恤</w:t>
            </w:r>
          </w:p>
        </w:tc>
        <w:tc>
          <w:tcPr>
            <w:tcW w:w="4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1</w:t>
            </w:r>
          </w:p>
        </w:tc>
        <w:tc>
          <w:tcPr>
            <w:tcW w:w="5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highlight w:val="none"/>
              </w:rPr>
              <w:t>件</w:t>
            </w:r>
          </w:p>
        </w:tc>
        <w:tc>
          <w:tcPr>
            <w:tcW w:w="90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7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备注</w:t>
            </w:r>
          </w:p>
        </w:tc>
        <w:tc>
          <w:tcPr>
            <w:tcW w:w="3828"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1.A1、A2为中职新生服装；B1、B2为高职新生服装。</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2.A2西装套装、B2西服套装若选择男款服装则不再包含女款服装，以此类推，若选择女款服装则不再包含男款服装。</w:t>
            </w:r>
          </w:p>
        </w:tc>
      </w:tr>
    </w:tbl>
    <w:p>
      <w:pPr>
        <w:pStyle w:val="36"/>
        <w:keepNext w:val="0"/>
        <w:keepLines w:val="0"/>
        <w:pageBreakBefore w:val="0"/>
        <w:widowControl w:val="0"/>
        <w:kinsoku/>
        <w:overflowPunct/>
        <w:autoSpaceDE/>
        <w:autoSpaceDN/>
        <w:bidi w:val="0"/>
        <w:spacing w:line="520" w:lineRule="exact"/>
        <w:ind w:leftChars="0" w:firstLine="482" w:firstLineChars="200"/>
        <w:textAlignment w:val="auto"/>
        <w:rPr>
          <w:rFonts w:hint="eastAsia"/>
          <w:color w:val="auto"/>
          <w:highlight w:val="none"/>
        </w:rPr>
      </w:pPr>
      <w:bookmarkStart w:id="1119" w:name="_Toc30632"/>
      <w:r>
        <w:rPr>
          <w:rFonts w:hint="eastAsia"/>
          <w:color w:val="auto"/>
          <w:highlight w:val="none"/>
          <w:lang w:val="en-US" w:eastAsia="zh-CN"/>
        </w:rPr>
        <w:t>技术</w:t>
      </w:r>
      <w:bookmarkEnd w:id="1117"/>
      <w:r>
        <w:rPr>
          <w:rFonts w:hint="eastAsia"/>
          <w:color w:val="auto"/>
          <w:highlight w:val="none"/>
          <w:lang w:val="en-US" w:eastAsia="zh-CN"/>
        </w:rPr>
        <w:t>参数及配置要求</w:t>
      </w:r>
      <w:bookmarkEnd w:id="1118"/>
      <w:bookmarkEnd w:id="1119"/>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945"/>
        <w:gridCol w:w="741"/>
        <w:gridCol w:w="4627"/>
        <w:gridCol w:w="3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47"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bookmarkStart w:id="1120" w:name="_Toc20128"/>
            <w:bookmarkStart w:id="1121" w:name="_Toc12739"/>
            <w:bookmarkStart w:id="1122" w:name="_Toc27497"/>
            <w:bookmarkStart w:id="1123" w:name="_Toc9683"/>
            <w:bookmarkStart w:id="1124" w:name="_Toc6974"/>
            <w:bookmarkStart w:id="1125" w:name="_Toc8752_WPSOffice_Level2"/>
            <w:bookmarkStart w:id="1126" w:name="_Toc7101"/>
            <w:r>
              <w:rPr>
                <w:rFonts w:hint="eastAsia" w:ascii="宋体" w:hAnsi="宋体" w:eastAsia="宋体" w:cs="宋体"/>
                <w:b/>
                <w:bCs/>
                <w:color w:val="auto"/>
                <w:sz w:val="21"/>
                <w:szCs w:val="21"/>
                <w:highlight w:val="none"/>
              </w:rPr>
              <w:t>序号</w:t>
            </w:r>
          </w:p>
        </w:tc>
        <w:tc>
          <w:tcPr>
            <w:tcW w:w="846" w:type="pct"/>
            <w:gridSpan w:val="2"/>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标的名称</w:t>
            </w:r>
          </w:p>
        </w:tc>
        <w:tc>
          <w:tcPr>
            <w:tcW w:w="232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技术参数及</w:t>
            </w:r>
            <w:r>
              <w:rPr>
                <w:rFonts w:hint="eastAsia" w:ascii="宋体" w:hAnsi="宋体" w:eastAsia="宋体" w:cs="宋体"/>
                <w:b/>
                <w:bCs/>
                <w:color w:val="auto"/>
                <w:sz w:val="21"/>
                <w:szCs w:val="21"/>
                <w:highlight w:val="none"/>
                <w:lang w:val="en-US" w:eastAsia="zh-CN"/>
              </w:rPr>
              <w:t>配置</w:t>
            </w:r>
            <w:r>
              <w:rPr>
                <w:rFonts w:hint="eastAsia" w:ascii="宋体" w:hAnsi="宋体" w:eastAsia="宋体" w:cs="宋体"/>
                <w:b/>
                <w:bCs/>
                <w:color w:val="auto"/>
                <w:sz w:val="21"/>
                <w:szCs w:val="21"/>
                <w:highlight w:val="none"/>
              </w:rPr>
              <w:t>要求</w:t>
            </w:r>
          </w:p>
        </w:tc>
        <w:tc>
          <w:tcPr>
            <w:tcW w:w="158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参考图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7" w:type="pct"/>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474" w:type="pct"/>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b w:val="0"/>
                <w:bCs/>
                <w:color w:val="auto"/>
                <w:sz w:val="21"/>
                <w:szCs w:val="21"/>
                <w:highlight w:val="none"/>
              </w:rPr>
            </w:pPr>
            <w:r>
              <w:rPr>
                <w:rFonts w:hint="eastAsia" w:ascii="宋体" w:hAnsi="宋体" w:eastAsia="宋体" w:cs="宋体"/>
                <w:b/>
                <w:bCs w:val="0"/>
                <w:color w:val="auto"/>
                <w:sz w:val="21"/>
                <w:szCs w:val="21"/>
                <w:highlight w:val="none"/>
              </w:rPr>
              <w:t>A1工装套装</w:t>
            </w:r>
          </w:p>
        </w:tc>
        <w:tc>
          <w:tcPr>
            <w:tcW w:w="37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rPr>
              <w:t>长袖茄克套装</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含上衣</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下装</w:t>
            </w:r>
            <w:r>
              <w:rPr>
                <w:rFonts w:hint="eastAsia" w:ascii="宋体" w:hAnsi="宋体" w:eastAsia="宋体" w:cs="宋体"/>
                <w:bCs/>
                <w:color w:val="auto"/>
                <w:sz w:val="21"/>
                <w:szCs w:val="21"/>
                <w:highlight w:val="none"/>
                <w:lang w:eastAsia="zh-CN"/>
              </w:rPr>
              <w:t>)</w:t>
            </w:r>
          </w:p>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p>
        </w:tc>
        <w:tc>
          <w:tcPr>
            <w:tcW w:w="2322" w:type="pct"/>
            <w:noWrap w:val="0"/>
            <w:vAlign w:val="center"/>
          </w:tcPr>
          <w:p>
            <w:pPr>
              <w:pStyle w:val="40"/>
              <w:bidi w:val="0"/>
              <w:rPr>
                <w:rFonts w:hint="eastAsia" w:ascii="宋体" w:hAnsi="宋体" w:eastAsia="宋体"/>
              </w:rPr>
            </w:pPr>
            <w:r>
              <w:rPr>
                <w:rFonts w:hint="eastAsia" w:ascii="宋体" w:hAnsi="宋体" w:eastAsia="宋体"/>
              </w:rPr>
              <w:t>面料：65%</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rPr>
              <w:t>聚酯纤维35%</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rPr>
              <w:t>棉</w:t>
            </w:r>
            <w:r>
              <w:rPr>
                <w:rFonts w:hint="eastAsia" w:ascii="宋体" w:hAnsi="宋体" w:eastAsia="宋体"/>
                <w:lang w:eastAsia="zh-CN"/>
              </w:rPr>
              <w:t>，</w:t>
            </w:r>
            <w:r>
              <w:rPr>
                <w:rFonts w:hint="eastAsia" w:ascii="宋体" w:hAnsi="宋体" w:eastAsia="宋体"/>
              </w:rPr>
              <w:t>纱支：20s</w:t>
            </w:r>
            <w:r>
              <w:rPr>
                <w:rFonts w:hint="eastAsia" w:ascii="宋体" w:hAnsi="宋体" w:eastAsia="宋体"/>
                <w:lang w:eastAsia="zh-CN"/>
              </w:rPr>
              <w:t>(</w:t>
            </w:r>
            <w:r>
              <w:rPr>
                <w:rFonts w:hint="eastAsia" w:ascii="宋体" w:hAnsi="宋体" w:eastAsia="宋体"/>
              </w:rPr>
              <w:t>±2</w:t>
            </w:r>
            <w:r>
              <w:rPr>
                <w:rFonts w:hint="eastAsia" w:ascii="宋体" w:hAnsi="宋体" w:eastAsia="宋体"/>
                <w:lang w:eastAsia="zh-CN"/>
              </w:rPr>
              <w:t>)×</w:t>
            </w:r>
            <w:r>
              <w:rPr>
                <w:rFonts w:hint="eastAsia" w:ascii="宋体" w:hAnsi="宋体" w:eastAsia="宋体"/>
              </w:rPr>
              <w:t>1</w:t>
            </w:r>
            <w:r>
              <w:rPr>
                <w:rFonts w:hint="eastAsia" w:ascii="宋体" w:hAnsi="宋体" w:eastAsia="宋体"/>
                <w:lang w:val="en-US" w:eastAsia="zh-CN"/>
              </w:rPr>
              <w:t>5</w:t>
            </w:r>
            <w:r>
              <w:rPr>
                <w:rFonts w:hint="eastAsia" w:ascii="宋体" w:hAnsi="宋体" w:eastAsia="宋体"/>
              </w:rPr>
              <w:t>s</w:t>
            </w:r>
            <w:r>
              <w:rPr>
                <w:rFonts w:hint="eastAsia" w:ascii="宋体" w:hAnsi="宋体" w:eastAsia="宋体"/>
                <w:lang w:eastAsia="zh-CN"/>
              </w:rPr>
              <w:t>(</w:t>
            </w:r>
            <w:r>
              <w:rPr>
                <w:rFonts w:hint="eastAsia" w:ascii="宋体" w:hAnsi="宋体" w:eastAsia="宋体"/>
              </w:rPr>
              <w:t>±2</w:t>
            </w:r>
            <w:r>
              <w:rPr>
                <w:rFonts w:hint="eastAsia" w:ascii="宋体" w:hAnsi="宋体" w:eastAsia="宋体"/>
                <w:lang w:eastAsia="zh-CN"/>
              </w:rPr>
              <w:t>)</w:t>
            </w:r>
            <w:r>
              <w:rPr>
                <w:rFonts w:hint="eastAsia" w:ascii="宋体" w:hAnsi="宋体" w:eastAsia="宋体"/>
              </w:rPr>
              <w:t>，</w:t>
            </w:r>
            <w:r>
              <w:rPr>
                <w:rFonts w:hint="eastAsia" w:ascii="宋体" w:hAnsi="宋体" w:eastAsia="宋体"/>
                <w:lang w:val="en-US" w:eastAsia="zh-CN"/>
              </w:rPr>
              <w:t>密度：470</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lang w:val="en-US" w:eastAsia="zh-CN"/>
              </w:rPr>
              <w:t>195</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lang w:val="en-US" w:eastAsia="zh-CN"/>
              </w:rPr>
              <w:t>根/10cm，</w:t>
            </w:r>
            <w:r>
              <w:rPr>
                <w:rFonts w:hint="eastAsia" w:ascii="宋体" w:hAnsi="宋体" w:eastAsia="宋体"/>
              </w:rPr>
              <w:t>克重：≥23</w:t>
            </w:r>
            <w:r>
              <w:rPr>
                <w:rFonts w:hint="eastAsia" w:ascii="宋体" w:hAnsi="宋体" w:eastAsia="宋体"/>
                <w:lang w:val="en-US" w:eastAsia="zh-CN"/>
              </w:rPr>
              <w:t>0</w:t>
            </w:r>
            <w:r>
              <w:rPr>
                <w:rFonts w:hint="eastAsia" w:ascii="宋体" w:hAnsi="宋体" w:eastAsia="宋体"/>
              </w:rPr>
              <w:t>g/㎡</w:t>
            </w:r>
            <w:r>
              <w:rPr>
                <w:rFonts w:hint="eastAsia" w:ascii="宋体" w:hAnsi="宋体" w:eastAsia="宋体"/>
                <w:lang w:eastAsia="zh-CN"/>
              </w:rPr>
              <w:t>，无异味</w:t>
            </w:r>
            <w:r>
              <w:rPr>
                <w:rFonts w:hint="eastAsia" w:ascii="宋体" w:hAnsi="宋体" w:eastAsia="宋体"/>
              </w:rPr>
              <w:t>；</w:t>
            </w:r>
          </w:p>
          <w:p>
            <w:pPr>
              <w:pStyle w:val="40"/>
              <w:bidi w:val="0"/>
              <w:rPr>
                <w:rFonts w:hint="eastAsia" w:ascii="宋体" w:hAnsi="宋体" w:eastAsia="宋体"/>
              </w:rPr>
            </w:pPr>
            <w:r>
              <w:rPr>
                <w:rFonts w:hint="eastAsia" w:ascii="宋体" w:hAnsi="宋体" w:eastAsia="宋体"/>
              </w:rPr>
              <w:t>款式：长袖茄克：翻领，拉链款，袖口可自由调节，上装左胸口处为魔术贴LOGO，下摆两侧松紧调节</w:t>
            </w:r>
            <w:r>
              <w:rPr>
                <w:rFonts w:hint="eastAsia"/>
                <w:lang w:eastAsia="zh-CN"/>
              </w:rPr>
              <w:t>；</w:t>
            </w:r>
          </w:p>
          <w:p>
            <w:pPr>
              <w:pStyle w:val="40"/>
              <w:bidi w:val="0"/>
              <w:rPr>
                <w:rFonts w:hint="eastAsia" w:ascii="宋体" w:hAnsi="宋体" w:eastAsia="宋体"/>
              </w:rPr>
            </w:pPr>
            <w:r>
              <w:rPr>
                <w:rFonts w:hint="eastAsia" w:ascii="宋体" w:hAnsi="宋体" w:eastAsia="宋体"/>
              </w:rPr>
              <w:t>颜色：长袖茄克上装</w:t>
            </w:r>
            <w:r>
              <w:rPr>
                <w:rFonts w:hint="eastAsia" w:ascii="宋体" w:hAnsi="宋体" w:eastAsia="宋体"/>
                <w:lang w:eastAsia="zh-CN"/>
              </w:rPr>
              <w:t>藏蓝</w:t>
            </w:r>
            <w:r>
              <w:rPr>
                <w:rFonts w:hint="eastAsia" w:ascii="宋体" w:hAnsi="宋体" w:eastAsia="宋体"/>
              </w:rPr>
              <w:t>色主体色，灰色拼色；下装：</w:t>
            </w:r>
            <w:r>
              <w:rPr>
                <w:rFonts w:hint="eastAsia" w:ascii="宋体" w:hAnsi="宋体" w:eastAsia="宋体"/>
                <w:lang w:eastAsia="zh-CN"/>
              </w:rPr>
              <w:t>藏蓝</w:t>
            </w:r>
            <w:r>
              <w:rPr>
                <w:rFonts w:hint="eastAsia" w:ascii="宋体" w:hAnsi="宋体" w:eastAsia="宋体"/>
              </w:rPr>
              <w:t>色；</w:t>
            </w:r>
          </w:p>
          <w:p>
            <w:pPr>
              <w:pStyle w:val="40"/>
              <w:bidi w:val="0"/>
              <w:rPr>
                <w:rFonts w:hint="eastAsia" w:ascii="宋体" w:hAnsi="宋体" w:eastAsia="宋体"/>
              </w:rPr>
            </w:pPr>
            <w:r>
              <w:rPr>
                <w:rFonts w:hint="eastAsia" w:ascii="宋体" w:hAnsi="宋体" w:eastAsia="宋体"/>
              </w:rPr>
              <w:t>做工：领口左右对称，明线顺直，不崩线，钮扣缝线牢实，拉链灵活，结合牢靠不掉齿</w:t>
            </w:r>
            <w:r>
              <w:rPr>
                <w:rFonts w:hint="eastAsia"/>
                <w:lang w:eastAsia="zh-CN"/>
              </w:rPr>
              <w:t>；</w:t>
            </w:r>
          </w:p>
          <w:p>
            <w:pPr>
              <w:pStyle w:val="40"/>
              <w:bidi w:val="0"/>
              <w:rPr>
                <w:rFonts w:hint="eastAsia" w:ascii="宋体" w:hAnsi="宋体" w:eastAsia="宋体"/>
              </w:rPr>
            </w:pPr>
            <w:r>
              <w:rPr>
                <w:rFonts w:hint="eastAsia" w:ascii="宋体" w:hAnsi="宋体" w:eastAsia="宋体"/>
              </w:rPr>
              <w:t>★符合《国</w:t>
            </w:r>
            <w:r>
              <w:rPr>
                <w:rFonts w:hint="eastAsia" w:ascii="宋体" w:hAnsi="宋体" w:eastAsia="宋体"/>
                <w:lang w:val="en-US" w:eastAsia="zh-CN"/>
              </w:rPr>
              <w:t>家</w:t>
            </w:r>
            <w:r>
              <w:rPr>
                <w:rFonts w:hint="eastAsia" w:ascii="宋体" w:hAnsi="宋体" w:eastAsia="宋体"/>
              </w:rPr>
              <w:t>纺织品基本安全技术规</w:t>
            </w:r>
            <w:r>
              <w:rPr>
                <w:rFonts w:hint="eastAsia" w:ascii="宋体" w:hAnsi="宋体" w:eastAsia="宋体"/>
                <w:lang w:val="en-US" w:eastAsia="zh-CN"/>
              </w:rPr>
              <w:t>范</w:t>
            </w:r>
            <w:r>
              <w:rPr>
                <w:rFonts w:hint="eastAsia" w:ascii="宋体" w:hAnsi="宋体" w:eastAsia="宋体"/>
              </w:rPr>
              <w:t>》GB18401-2010标准</w:t>
            </w:r>
            <w:r>
              <w:rPr>
                <w:rFonts w:hint="eastAsia"/>
                <w:lang w:eastAsia="zh-CN"/>
              </w:rPr>
              <w:t>；</w:t>
            </w:r>
          </w:p>
          <w:p>
            <w:pPr>
              <w:pStyle w:val="40"/>
              <w:bidi w:val="0"/>
              <w:rPr>
                <w:rFonts w:hint="eastAsia" w:ascii="宋体" w:hAnsi="宋体" w:eastAsia="宋体"/>
              </w:rPr>
            </w:pPr>
            <w:r>
              <w:rPr>
                <w:rFonts w:hint="eastAsia" w:ascii="宋体" w:hAnsi="宋体" w:eastAsia="宋体"/>
              </w:rPr>
              <w:t>▲投标时投标人提供国家认可的第三方检测机构出具的主体</w:t>
            </w:r>
            <w:r>
              <w:rPr>
                <w:rFonts w:hint="eastAsia" w:ascii="宋体" w:hAnsi="宋体" w:eastAsia="宋体"/>
                <w:lang w:val="en-US" w:eastAsia="zh-CN"/>
              </w:rPr>
              <w:t>色</w:t>
            </w:r>
            <w:r>
              <w:rPr>
                <w:rFonts w:hint="eastAsia" w:ascii="宋体" w:hAnsi="宋体" w:eastAsia="宋体"/>
              </w:rPr>
              <w:t>面料质量检验合格报告复印件</w:t>
            </w:r>
            <w:r>
              <w:rPr>
                <w:rFonts w:hint="eastAsia" w:ascii="宋体" w:hAnsi="宋体" w:eastAsia="宋体"/>
                <w:lang w:eastAsia="zh-CN"/>
              </w:rPr>
              <w:t>(</w:t>
            </w:r>
            <w:r>
              <w:rPr>
                <w:rFonts w:hint="eastAsia" w:ascii="宋体" w:hAnsi="宋体" w:eastAsia="宋体"/>
              </w:rPr>
              <w:t>该报告出具年限为2022年1月1日以后</w:t>
            </w:r>
            <w:r>
              <w:rPr>
                <w:rFonts w:hint="eastAsia" w:ascii="宋体" w:hAnsi="宋体" w:eastAsia="宋体"/>
                <w:lang w:eastAsia="zh-CN"/>
              </w:rPr>
              <w:t>)</w:t>
            </w:r>
            <w:r>
              <w:rPr>
                <w:rFonts w:hint="eastAsia" w:ascii="宋体" w:hAnsi="宋体" w:eastAsia="宋体"/>
              </w:rPr>
              <w:t>。</w:t>
            </w:r>
          </w:p>
        </w:tc>
        <w:tc>
          <w:tcPr>
            <w:tcW w:w="158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008380" cy="2713990"/>
                  <wp:effectExtent l="0" t="0" r="1270"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a:stretch>
                            <a:fillRect/>
                          </a:stretch>
                        </pic:blipFill>
                        <pic:spPr>
                          <a:xfrm>
                            <a:off x="0" y="0"/>
                            <a:ext cx="1008380" cy="271399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1662430" cy="2449830"/>
                  <wp:effectExtent l="0" t="0" r="4445" b="762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0"/>
                          <a:stretch>
                            <a:fillRect/>
                          </a:stretch>
                        </pic:blipFill>
                        <pic:spPr>
                          <a:xfrm>
                            <a:off x="0" y="0"/>
                            <a:ext cx="1662430" cy="24498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7"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bookmarkStart w:id="1127" w:name="_Toc2560"/>
            <w:bookmarkStart w:id="1128" w:name="_Toc21173"/>
            <w:bookmarkStart w:id="1129" w:name="_Toc21165"/>
            <w:r>
              <w:rPr>
                <w:rFonts w:hint="eastAsia" w:ascii="宋体" w:hAnsi="宋体" w:eastAsia="宋体" w:cs="宋体"/>
                <w:color w:val="auto"/>
                <w:sz w:val="21"/>
                <w:szCs w:val="21"/>
                <w:highlight w:val="none"/>
              </w:rPr>
              <w:t>1</w:t>
            </w:r>
            <w:bookmarkEnd w:id="1127"/>
            <w:bookmarkEnd w:id="1128"/>
            <w:bookmarkEnd w:id="1129"/>
          </w:p>
        </w:tc>
        <w:tc>
          <w:tcPr>
            <w:tcW w:w="474"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p>
        </w:tc>
        <w:tc>
          <w:tcPr>
            <w:tcW w:w="37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b w:val="0"/>
                <w:bCs/>
                <w:color w:val="auto"/>
                <w:sz w:val="21"/>
                <w:szCs w:val="21"/>
                <w:highlight w:val="none"/>
                <w:lang w:eastAsia="zh-CN"/>
              </w:rPr>
              <w:t>夏季工装下装</w:t>
            </w:r>
          </w:p>
        </w:tc>
        <w:tc>
          <w:tcPr>
            <w:tcW w:w="2322" w:type="pct"/>
            <w:noWrap w:val="0"/>
            <w:vAlign w:val="center"/>
          </w:tcPr>
          <w:p>
            <w:pPr>
              <w:pStyle w:val="40"/>
              <w:bidi w:val="0"/>
              <w:rPr>
                <w:rFonts w:hint="eastAsia" w:ascii="宋体" w:hAnsi="宋体" w:eastAsia="宋体"/>
              </w:rPr>
            </w:pPr>
            <w:r>
              <w:rPr>
                <w:rFonts w:hint="eastAsia" w:ascii="宋体" w:hAnsi="宋体" w:eastAsia="宋体"/>
              </w:rPr>
              <w:t>面料：65%</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rPr>
              <w:t>聚酯纤维35%</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rPr>
              <w:t>棉，纱支：3</w:t>
            </w:r>
            <w:r>
              <w:rPr>
                <w:rFonts w:hint="eastAsia" w:ascii="宋体" w:hAnsi="宋体" w:eastAsia="宋体"/>
                <w:lang w:val="en-US" w:eastAsia="zh-CN"/>
              </w:rPr>
              <w:t>0</w:t>
            </w:r>
            <w:r>
              <w:rPr>
                <w:rFonts w:hint="eastAsia" w:ascii="宋体" w:hAnsi="宋体" w:eastAsia="宋体"/>
              </w:rPr>
              <w:t>s</w:t>
            </w:r>
            <w:r>
              <w:rPr>
                <w:rFonts w:hint="eastAsia" w:ascii="宋体" w:hAnsi="宋体" w:eastAsia="宋体"/>
                <w:lang w:eastAsia="zh-CN"/>
              </w:rPr>
              <w:t>(</w:t>
            </w:r>
            <w:r>
              <w:rPr>
                <w:rFonts w:hint="eastAsia" w:ascii="宋体" w:hAnsi="宋体" w:eastAsia="宋体"/>
              </w:rPr>
              <w:t>±2</w:t>
            </w:r>
            <w:r>
              <w:rPr>
                <w:rFonts w:hint="eastAsia" w:ascii="宋体" w:hAnsi="宋体" w:eastAsia="宋体"/>
                <w:lang w:eastAsia="zh-CN"/>
              </w:rPr>
              <w:t>)×</w:t>
            </w:r>
            <w:r>
              <w:rPr>
                <w:rFonts w:hint="eastAsia" w:ascii="宋体" w:hAnsi="宋体" w:eastAsia="宋体"/>
              </w:rPr>
              <w:t>3</w:t>
            </w:r>
            <w:r>
              <w:rPr>
                <w:rFonts w:hint="eastAsia" w:ascii="宋体" w:hAnsi="宋体" w:eastAsia="宋体"/>
                <w:lang w:val="en-US" w:eastAsia="zh-CN"/>
              </w:rPr>
              <w:t>0</w:t>
            </w:r>
            <w:r>
              <w:rPr>
                <w:rFonts w:hint="eastAsia" w:ascii="宋体" w:hAnsi="宋体" w:eastAsia="宋体"/>
              </w:rPr>
              <w:t>s</w:t>
            </w:r>
            <w:r>
              <w:rPr>
                <w:rFonts w:hint="eastAsia" w:ascii="宋体" w:hAnsi="宋体" w:eastAsia="宋体"/>
                <w:lang w:eastAsia="zh-CN"/>
              </w:rPr>
              <w:t>(</w:t>
            </w:r>
            <w:r>
              <w:rPr>
                <w:rFonts w:hint="eastAsia" w:ascii="宋体" w:hAnsi="宋体" w:eastAsia="宋体"/>
              </w:rPr>
              <w:t>±2</w:t>
            </w:r>
            <w:r>
              <w:rPr>
                <w:rFonts w:hint="eastAsia" w:ascii="宋体" w:hAnsi="宋体" w:eastAsia="宋体"/>
                <w:lang w:eastAsia="zh-CN"/>
              </w:rPr>
              <w:t>)，密度：</w:t>
            </w:r>
            <w:r>
              <w:rPr>
                <w:rFonts w:hint="eastAsia" w:ascii="宋体" w:hAnsi="宋体" w:eastAsia="宋体"/>
                <w:lang w:val="en-US" w:eastAsia="zh-CN"/>
              </w:rPr>
              <w:t>540</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lang w:val="en-US" w:eastAsia="zh-CN"/>
              </w:rPr>
              <w:t>*255</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lang w:val="en-US" w:eastAsia="zh-CN"/>
              </w:rPr>
              <w:t>根/10cm</w:t>
            </w:r>
            <w:r>
              <w:rPr>
                <w:rFonts w:hint="eastAsia" w:ascii="宋体" w:hAnsi="宋体" w:eastAsia="宋体"/>
              </w:rPr>
              <w:t>，克重：≥15</w:t>
            </w:r>
            <w:r>
              <w:rPr>
                <w:rFonts w:hint="eastAsia" w:ascii="宋体" w:hAnsi="宋体" w:eastAsia="宋体"/>
                <w:lang w:val="en-US" w:eastAsia="zh-CN"/>
              </w:rPr>
              <w:t>0</w:t>
            </w:r>
            <w:r>
              <w:rPr>
                <w:rFonts w:hint="eastAsia" w:ascii="宋体" w:hAnsi="宋体" w:eastAsia="宋体"/>
              </w:rPr>
              <w:t>g/㎡</w:t>
            </w:r>
            <w:r>
              <w:rPr>
                <w:rFonts w:hint="eastAsia" w:ascii="宋体" w:hAnsi="宋体" w:eastAsia="宋体"/>
                <w:lang w:eastAsia="zh-CN"/>
              </w:rPr>
              <w:t>，无异味</w:t>
            </w:r>
            <w:r>
              <w:rPr>
                <w:rFonts w:hint="eastAsia" w:ascii="宋体" w:hAnsi="宋体" w:eastAsia="宋体"/>
              </w:rPr>
              <w:t>；</w:t>
            </w:r>
          </w:p>
          <w:p>
            <w:pPr>
              <w:pStyle w:val="40"/>
              <w:bidi w:val="0"/>
              <w:rPr>
                <w:rFonts w:hint="eastAsia" w:ascii="宋体" w:hAnsi="宋体" w:eastAsia="宋体"/>
              </w:rPr>
            </w:pPr>
            <w:r>
              <w:rPr>
                <w:rFonts w:hint="eastAsia" w:ascii="宋体" w:hAnsi="宋体" w:eastAsia="宋体"/>
              </w:rPr>
              <w:t>款式：下摆两侧松紧调节。</w:t>
            </w:r>
          </w:p>
          <w:p>
            <w:pPr>
              <w:pStyle w:val="40"/>
              <w:bidi w:val="0"/>
              <w:rPr>
                <w:rFonts w:hint="eastAsia" w:ascii="宋体" w:hAnsi="宋体" w:eastAsia="宋体"/>
              </w:rPr>
            </w:pPr>
            <w:r>
              <w:rPr>
                <w:rFonts w:hint="eastAsia" w:ascii="宋体" w:hAnsi="宋体" w:eastAsia="宋体"/>
              </w:rPr>
              <w:t>颜色：下装：</w:t>
            </w:r>
            <w:r>
              <w:rPr>
                <w:rFonts w:hint="eastAsia" w:ascii="宋体" w:hAnsi="宋体" w:eastAsia="宋体"/>
                <w:lang w:eastAsia="zh-CN"/>
              </w:rPr>
              <w:t>藏蓝</w:t>
            </w:r>
            <w:r>
              <w:rPr>
                <w:rFonts w:hint="eastAsia" w:ascii="宋体" w:hAnsi="宋体" w:eastAsia="宋体"/>
              </w:rPr>
              <w:t>色；</w:t>
            </w:r>
          </w:p>
          <w:p>
            <w:pPr>
              <w:pStyle w:val="40"/>
              <w:bidi w:val="0"/>
              <w:rPr>
                <w:rFonts w:hint="eastAsia" w:ascii="宋体" w:hAnsi="宋体" w:eastAsia="宋体"/>
              </w:rPr>
            </w:pPr>
            <w:r>
              <w:rPr>
                <w:rFonts w:hint="eastAsia" w:ascii="宋体" w:hAnsi="宋体" w:eastAsia="宋体"/>
              </w:rPr>
              <w:t>做工：明线顺直，不崩线，拉链灵活，结合牢靠不掉齿。</w:t>
            </w:r>
          </w:p>
          <w:p>
            <w:pPr>
              <w:pStyle w:val="40"/>
              <w:bidi w:val="0"/>
              <w:rPr>
                <w:rFonts w:hint="eastAsia" w:ascii="宋体" w:hAnsi="宋体" w:eastAsia="宋体"/>
              </w:rPr>
            </w:pPr>
            <w:r>
              <w:rPr>
                <w:rFonts w:hint="eastAsia" w:ascii="宋体" w:hAnsi="宋体" w:eastAsia="宋体"/>
              </w:rPr>
              <w:t>★符合《国</w:t>
            </w:r>
            <w:r>
              <w:rPr>
                <w:rFonts w:hint="eastAsia" w:ascii="宋体" w:hAnsi="宋体" w:eastAsia="宋体"/>
                <w:lang w:val="en-US" w:eastAsia="zh-CN"/>
              </w:rPr>
              <w:t>家</w:t>
            </w:r>
            <w:r>
              <w:rPr>
                <w:rFonts w:hint="eastAsia" w:ascii="宋体" w:hAnsi="宋体" w:eastAsia="宋体"/>
              </w:rPr>
              <w:t>纺织品基本安全技术规</w:t>
            </w:r>
            <w:r>
              <w:rPr>
                <w:rFonts w:hint="eastAsia" w:ascii="宋体" w:hAnsi="宋体" w:eastAsia="宋体"/>
                <w:lang w:val="en-US" w:eastAsia="zh-CN"/>
              </w:rPr>
              <w:t>范</w:t>
            </w:r>
            <w:r>
              <w:rPr>
                <w:rFonts w:hint="eastAsia" w:ascii="宋体" w:hAnsi="宋体" w:eastAsia="宋体"/>
              </w:rPr>
              <w:t>》GB18401-2010标准。</w:t>
            </w:r>
          </w:p>
          <w:p>
            <w:pPr>
              <w:pStyle w:val="40"/>
              <w:bidi w:val="0"/>
              <w:rPr>
                <w:rFonts w:hint="eastAsia" w:ascii="宋体" w:hAnsi="宋体" w:eastAsia="宋体"/>
              </w:rPr>
            </w:pPr>
            <w:r>
              <w:rPr>
                <w:rFonts w:hint="eastAsia" w:ascii="宋体" w:hAnsi="宋体" w:eastAsia="宋体"/>
              </w:rPr>
              <w:t>▲投标时投标人提供国家认可的第三方检测机构出具的下装主体面料质量检验合格报告复印件(该报告出具年限为2022年1月1日以后)。</w:t>
            </w:r>
          </w:p>
        </w:tc>
        <w:tc>
          <w:tcPr>
            <w:tcW w:w="158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55345" cy="1694815"/>
                  <wp:effectExtent l="0" t="0" r="1905" b="635"/>
                  <wp:docPr id="13" name="图片 3" descr="C:\Users\Administrator\Desktop\a98db4290485586406004c9a0128645.jpga98db4290485586406004c9a012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C:\Users\Administrator\Desktop\a98db4290485586406004c9a0128645.jpga98db4290485586406004c9a0128645"/>
                          <pic:cNvPicPr>
                            <a:picLocks noChangeAspect="1"/>
                          </pic:cNvPicPr>
                        </pic:nvPicPr>
                        <pic:blipFill>
                          <a:blip r:embed="rId21"/>
                          <a:srcRect l="8340" t="46706" r="61066"/>
                          <a:stretch>
                            <a:fillRect/>
                          </a:stretch>
                        </pic:blipFill>
                        <pic:spPr>
                          <a:xfrm>
                            <a:off x="0" y="0"/>
                            <a:ext cx="855345" cy="1694815"/>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1662430" cy="2449830"/>
                  <wp:effectExtent l="0" t="0" r="4445"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0"/>
                          <a:stretch>
                            <a:fillRect/>
                          </a:stretch>
                        </pic:blipFill>
                        <pic:spPr>
                          <a:xfrm>
                            <a:off x="0" y="0"/>
                            <a:ext cx="1662430" cy="24498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7"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p>
        </w:tc>
        <w:tc>
          <w:tcPr>
            <w:tcW w:w="474"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p>
        </w:tc>
        <w:tc>
          <w:tcPr>
            <w:tcW w:w="37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夏季上装</w:t>
            </w:r>
            <w:r>
              <w:rPr>
                <w:rFonts w:hint="eastAsia" w:ascii="宋体" w:hAnsi="宋体" w:eastAsia="宋体" w:cs="宋体"/>
                <w:b w:val="0"/>
                <w:bCs/>
                <w:color w:val="auto"/>
                <w:sz w:val="21"/>
                <w:szCs w:val="21"/>
                <w:highlight w:val="none"/>
              </w:rPr>
              <w:t>短袖T恤</w:t>
            </w:r>
          </w:p>
        </w:tc>
        <w:tc>
          <w:tcPr>
            <w:tcW w:w="2322" w:type="pct"/>
            <w:noWrap w:val="0"/>
            <w:vAlign w:val="center"/>
          </w:tcPr>
          <w:p>
            <w:pPr>
              <w:pStyle w:val="40"/>
              <w:bidi w:val="0"/>
              <w:rPr>
                <w:rFonts w:hint="eastAsia" w:ascii="宋体" w:hAnsi="宋体" w:eastAsia="宋体"/>
              </w:rPr>
            </w:pPr>
            <w:r>
              <w:rPr>
                <w:rFonts w:hint="eastAsia" w:ascii="宋体" w:hAnsi="宋体" w:eastAsia="宋体"/>
              </w:rPr>
              <w:t>面料：</w:t>
            </w:r>
            <w:r>
              <w:rPr>
                <w:rFonts w:hint="eastAsia" w:ascii="宋体" w:hAnsi="宋体" w:eastAsia="宋体"/>
                <w:lang w:val="en-US" w:eastAsia="zh-CN"/>
              </w:rPr>
              <w:t>60%</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lang w:val="en-US" w:eastAsia="zh-CN"/>
              </w:rPr>
              <w:t>聚酯纤维，40%</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lang w:val="en-US" w:eastAsia="zh-CN"/>
              </w:rPr>
              <w:t>棉</w:t>
            </w:r>
            <w:r>
              <w:rPr>
                <w:rFonts w:hint="eastAsia" w:ascii="宋体" w:hAnsi="宋体" w:eastAsia="宋体"/>
                <w:lang w:eastAsia="zh-CN"/>
              </w:rPr>
              <w:t>，</w:t>
            </w:r>
            <w:r>
              <w:rPr>
                <w:rFonts w:hint="eastAsia" w:ascii="宋体" w:hAnsi="宋体" w:eastAsia="宋体"/>
              </w:rPr>
              <w:t>纱支：</w:t>
            </w:r>
            <w:r>
              <w:rPr>
                <w:rFonts w:hint="eastAsia" w:ascii="宋体" w:hAnsi="宋体" w:eastAsia="宋体"/>
                <w:lang w:val="en-US" w:eastAsia="zh-CN"/>
              </w:rPr>
              <w:t>26S</w:t>
            </w:r>
            <w:r>
              <w:rPr>
                <w:rFonts w:hint="eastAsia" w:ascii="宋体" w:hAnsi="宋体" w:eastAsia="宋体"/>
                <w:lang w:eastAsia="zh-CN"/>
              </w:rPr>
              <w:t>(</w:t>
            </w:r>
            <w:r>
              <w:rPr>
                <w:rFonts w:hint="eastAsia" w:ascii="宋体" w:hAnsi="宋体" w:eastAsia="宋体"/>
              </w:rPr>
              <w:t>±2</w:t>
            </w:r>
            <w:r>
              <w:rPr>
                <w:rFonts w:hint="eastAsia" w:ascii="宋体" w:hAnsi="宋体" w:eastAsia="宋体"/>
                <w:lang w:eastAsia="zh-CN"/>
              </w:rPr>
              <w:t>)</w:t>
            </w:r>
            <w:r>
              <w:rPr>
                <w:rFonts w:hint="eastAsia" w:ascii="宋体" w:hAnsi="宋体" w:eastAsia="宋体"/>
              </w:rPr>
              <w:t>，克重：≥2</w:t>
            </w:r>
            <w:r>
              <w:rPr>
                <w:rFonts w:hint="eastAsia" w:ascii="宋体" w:hAnsi="宋体" w:eastAsia="宋体"/>
                <w:lang w:val="en-US" w:eastAsia="zh-CN"/>
              </w:rPr>
              <w:t>00</w:t>
            </w:r>
            <w:r>
              <w:rPr>
                <w:rFonts w:hint="eastAsia" w:ascii="宋体" w:hAnsi="宋体" w:eastAsia="宋体"/>
              </w:rPr>
              <w:t>g/㎡</w:t>
            </w:r>
            <w:r>
              <w:rPr>
                <w:rFonts w:hint="eastAsia" w:ascii="宋体" w:hAnsi="宋体" w:eastAsia="宋体"/>
                <w:lang w:eastAsia="zh-CN"/>
              </w:rPr>
              <w:t>，无异味</w:t>
            </w:r>
            <w:r>
              <w:rPr>
                <w:rFonts w:hint="eastAsia" w:ascii="宋体" w:hAnsi="宋体" w:eastAsia="宋体"/>
              </w:rPr>
              <w:t>。</w:t>
            </w:r>
          </w:p>
          <w:p>
            <w:pPr>
              <w:pStyle w:val="40"/>
              <w:bidi w:val="0"/>
              <w:rPr>
                <w:rFonts w:hint="eastAsia" w:ascii="宋体" w:hAnsi="宋体" w:eastAsia="宋体"/>
              </w:rPr>
            </w:pPr>
            <w:r>
              <w:rPr>
                <w:rFonts w:hint="eastAsia" w:ascii="宋体" w:hAnsi="宋体" w:eastAsia="宋体"/>
              </w:rPr>
              <w:t>款式：小翻领，短袖。</w:t>
            </w:r>
          </w:p>
          <w:p>
            <w:pPr>
              <w:pStyle w:val="40"/>
              <w:bidi w:val="0"/>
              <w:rPr>
                <w:rFonts w:hint="eastAsia" w:ascii="宋体" w:hAnsi="宋体" w:eastAsia="宋体"/>
              </w:rPr>
            </w:pPr>
            <w:r>
              <w:rPr>
                <w:rFonts w:hint="eastAsia" w:ascii="宋体" w:hAnsi="宋体" w:eastAsia="宋体"/>
              </w:rPr>
              <w:t>颜色：</w:t>
            </w:r>
            <w:r>
              <w:rPr>
                <w:rFonts w:hint="eastAsia" w:ascii="宋体" w:hAnsi="宋体" w:eastAsia="宋体"/>
                <w:lang w:eastAsia="zh-CN"/>
              </w:rPr>
              <w:t>藏蓝</w:t>
            </w:r>
            <w:r>
              <w:rPr>
                <w:rFonts w:hint="eastAsia" w:ascii="宋体" w:hAnsi="宋体" w:eastAsia="宋体"/>
              </w:rPr>
              <w:t>色；</w:t>
            </w:r>
          </w:p>
          <w:p>
            <w:pPr>
              <w:pStyle w:val="40"/>
              <w:bidi w:val="0"/>
              <w:rPr>
                <w:rFonts w:hint="eastAsia" w:ascii="宋体" w:hAnsi="宋体" w:eastAsia="宋体"/>
              </w:rPr>
            </w:pPr>
            <w:r>
              <w:rPr>
                <w:rFonts w:hint="eastAsia" w:ascii="宋体" w:hAnsi="宋体" w:eastAsia="宋体"/>
              </w:rPr>
              <w:t>做工：服装做工精细，明线顺直，不崩线。</w:t>
            </w:r>
          </w:p>
          <w:p>
            <w:pPr>
              <w:pStyle w:val="40"/>
              <w:bidi w:val="0"/>
              <w:rPr>
                <w:rFonts w:hint="eastAsia" w:ascii="宋体" w:hAnsi="宋体" w:eastAsia="宋体"/>
              </w:rPr>
            </w:pPr>
            <w:r>
              <w:rPr>
                <w:rFonts w:hint="eastAsia" w:ascii="宋体" w:hAnsi="宋体" w:eastAsia="宋体"/>
              </w:rPr>
              <w:t>★符合《国</w:t>
            </w:r>
            <w:r>
              <w:rPr>
                <w:rFonts w:hint="eastAsia" w:ascii="宋体" w:hAnsi="宋体" w:eastAsia="宋体"/>
                <w:lang w:val="en-US" w:eastAsia="zh-CN"/>
              </w:rPr>
              <w:t>家</w:t>
            </w:r>
            <w:r>
              <w:rPr>
                <w:rFonts w:hint="eastAsia" w:ascii="宋体" w:hAnsi="宋体" w:eastAsia="宋体"/>
              </w:rPr>
              <w:t>纺织品基本安全技术规</w:t>
            </w:r>
            <w:r>
              <w:rPr>
                <w:rFonts w:hint="eastAsia" w:ascii="宋体" w:hAnsi="宋体" w:eastAsia="宋体"/>
                <w:lang w:val="en-US" w:eastAsia="zh-CN"/>
              </w:rPr>
              <w:t>范</w:t>
            </w:r>
            <w:r>
              <w:rPr>
                <w:rFonts w:hint="eastAsia" w:ascii="宋体" w:hAnsi="宋体" w:eastAsia="宋体"/>
              </w:rPr>
              <w:t>》GB18401-2010标准。</w:t>
            </w:r>
          </w:p>
          <w:p>
            <w:pPr>
              <w:pStyle w:val="40"/>
              <w:bidi w:val="0"/>
              <w:rPr>
                <w:rFonts w:hint="eastAsia" w:ascii="宋体" w:hAnsi="宋体" w:eastAsia="宋体"/>
                <w:lang w:val="en-US" w:eastAsia="zh-CN"/>
              </w:rPr>
            </w:pPr>
            <w:r>
              <w:rPr>
                <w:rFonts w:hint="eastAsia" w:ascii="宋体" w:hAnsi="宋体" w:eastAsia="宋体"/>
              </w:rPr>
              <w:t>▲投标时投标人提供国家认可的第三方检测机构出具的主体面料质量检验合格报告复印件</w:t>
            </w:r>
            <w:r>
              <w:rPr>
                <w:rFonts w:hint="eastAsia" w:ascii="宋体" w:hAnsi="宋体" w:eastAsia="宋体"/>
                <w:lang w:eastAsia="zh-CN"/>
              </w:rPr>
              <w:t>(</w:t>
            </w:r>
            <w:r>
              <w:rPr>
                <w:rFonts w:hint="eastAsia" w:ascii="宋体" w:hAnsi="宋体" w:eastAsia="宋体"/>
              </w:rPr>
              <w:t>该报告出具年限为2022年1月1日以后</w:t>
            </w:r>
            <w:r>
              <w:rPr>
                <w:rFonts w:hint="eastAsia" w:ascii="宋体" w:hAnsi="宋体" w:eastAsia="宋体"/>
                <w:lang w:eastAsia="zh-CN"/>
              </w:rPr>
              <w:t>)。</w:t>
            </w:r>
          </w:p>
        </w:tc>
        <w:tc>
          <w:tcPr>
            <w:tcW w:w="158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sz w:val="21"/>
                <w:szCs w:val="21"/>
              </w:rPr>
              <w:drawing>
                <wp:inline distT="0" distB="0" distL="114300" distR="114300">
                  <wp:extent cx="1436370" cy="1915160"/>
                  <wp:effectExtent l="0" t="0" r="1905" b="889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2"/>
                          <a:stretch>
                            <a:fillRect/>
                          </a:stretch>
                        </pic:blipFill>
                        <pic:spPr>
                          <a:xfrm>
                            <a:off x="0" y="0"/>
                            <a:ext cx="1436370" cy="19151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7" w:type="pct"/>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bookmarkStart w:id="1130" w:name="_Toc15617"/>
            <w:bookmarkStart w:id="1131" w:name="_Toc26819"/>
            <w:bookmarkStart w:id="1132" w:name="_Toc8637"/>
            <w:r>
              <w:rPr>
                <w:rFonts w:hint="eastAsia" w:ascii="宋体" w:hAnsi="宋体" w:eastAsia="宋体" w:cs="宋体"/>
                <w:color w:val="auto"/>
                <w:sz w:val="21"/>
                <w:szCs w:val="21"/>
                <w:highlight w:val="none"/>
              </w:rPr>
              <w:t>2</w:t>
            </w:r>
            <w:bookmarkEnd w:id="1130"/>
            <w:bookmarkEnd w:id="1131"/>
            <w:bookmarkEnd w:id="1132"/>
          </w:p>
        </w:tc>
        <w:tc>
          <w:tcPr>
            <w:tcW w:w="474" w:type="pct"/>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bookmarkStart w:id="1133" w:name="_Toc6917"/>
            <w:bookmarkStart w:id="1134" w:name="_Toc11933"/>
            <w:r>
              <w:rPr>
                <w:rFonts w:hint="eastAsia" w:ascii="宋体" w:hAnsi="宋体" w:eastAsia="宋体" w:cs="宋体"/>
                <w:bCs/>
                <w:color w:val="auto"/>
                <w:sz w:val="21"/>
                <w:szCs w:val="21"/>
                <w:highlight w:val="none"/>
              </w:rPr>
              <w:t>A2西装套装</w:t>
            </w:r>
            <w:bookmarkEnd w:id="1133"/>
            <w:bookmarkEnd w:id="1134"/>
          </w:p>
        </w:tc>
        <w:tc>
          <w:tcPr>
            <w:tcW w:w="37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男</w:t>
            </w:r>
            <w:r>
              <w:rPr>
                <w:rFonts w:hint="eastAsia" w:ascii="宋体" w:hAnsi="宋体" w:eastAsia="宋体" w:cs="宋体"/>
                <w:color w:val="auto"/>
                <w:sz w:val="21"/>
                <w:szCs w:val="21"/>
                <w:highlight w:val="none"/>
              </w:rPr>
              <w:t>西服套装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含上衣</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下装</w:t>
            </w:r>
            <w:r>
              <w:rPr>
                <w:rFonts w:hint="eastAsia" w:ascii="宋体" w:hAnsi="宋体" w:eastAsia="宋体" w:cs="宋体"/>
                <w:color w:val="auto"/>
                <w:sz w:val="21"/>
                <w:szCs w:val="21"/>
                <w:highlight w:val="none"/>
                <w:lang w:eastAsia="zh-CN"/>
              </w:rPr>
              <w:t>)、女</w:t>
            </w:r>
            <w:r>
              <w:rPr>
                <w:rFonts w:hint="eastAsia" w:ascii="宋体" w:hAnsi="宋体" w:eastAsia="宋体" w:cs="宋体"/>
                <w:color w:val="auto"/>
                <w:sz w:val="21"/>
                <w:szCs w:val="21"/>
                <w:highlight w:val="none"/>
              </w:rPr>
              <w:t>西服套装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含上衣</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下装</w:t>
            </w:r>
            <w:r>
              <w:rPr>
                <w:rFonts w:hint="eastAsia" w:ascii="宋体" w:hAnsi="宋体" w:eastAsia="宋体" w:cs="宋体"/>
                <w:color w:val="auto"/>
                <w:sz w:val="21"/>
                <w:szCs w:val="21"/>
                <w:highlight w:val="none"/>
                <w:lang w:eastAsia="zh-CN"/>
              </w:rPr>
              <w:t>、齐膝裙)</w:t>
            </w:r>
          </w:p>
        </w:tc>
        <w:tc>
          <w:tcPr>
            <w:tcW w:w="2322" w:type="pct"/>
            <w:noWrap w:val="0"/>
            <w:vAlign w:val="center"/>
          </w:tcPr>
          <w:p>
            <w:pPr>
              <w:pStyle w:val="40"/>
              <w:bidi w:val="0"/>
              <w:rPr>
                <w:rFonts w:hint="eastAsia" w:ascii="宋体" w:hAnsi="宋体" w:eastAsia="宋体"/>
              </w:rPr>
            </w:pPr>
            <w:r>
              <w:rPr>
                <w:rFonts w:hint="eastAsia" w:ascii="宋体" w:hAnsi="宋体" w:eastAsia="宋体"/>
              </w:rPr>
              <w:t>面料：贡丝锦，100%聚酯纤维，</w:t>
            </w:r>
            <w:r>
              <w:rPr>
                <w:rFonts w:hint="eastAsia" w:ascii="宋体" w:hAnsi="宋体" w:eastAsia="宋体"/>
                <w:lang w:eastAsia="zh-CN"/>
              </w:rPr>
              <w:t>色牢度（</w:t>
            </w:r>
            <w:r>
              <w:rPr>
                <w:rFonts w:hint="eastAsia" w:ascii="宋体" w:hAnsi="宋体" w:eastAsia="宋体"/>
              </w:rPr>
              <w:t>耐水，耐酸汗渍</w:t>
            </w:r>
            <w:r>
              <w:rPr>
                <w:rFonts w:hint="eastAsia" w:ascii="宋体" w:hAnsi="宋体" w:eastAsia="宋体"/>
                <w:lang w:eastAsia="zh-CN"/>
              </w:rPr>
              <w:t>、</w:t>
            </w:r>
            <w:r>
              <w:rPr>
                <w:rFonts w:hint="eastAsia" w:ascii="宋体" w:hAnsi="宋体" w:eastAsia="宋体"/>
              </w:rPr>
              <w:t>耐碱汗渍</w:t>
            </w:r>
            <w:r>
              <w:rPr>
                <w:rFonts w:hint="eastAsia" w:ascii="宋体" w:hAnsi="宋体" w:eastAsia="宋体"/>
                <w:lang w:eastAsia="zh-CN"/>
              </w:rPr>
              <w:t>、</w:t>
            </w:r>
            <w:r>
              <w:rPr>
                <w:rFonts w:hint="eastAsia" w:ascii="宋体" w:hAnsi="宋体" w:eastAsia="宋体"/>
              </w:rPr>
              <w:t>耐摩擦色牢度</w:t>
            </w:r>
            <w:r>
              <w:rPr>
                <w:rFonts w:hint="eastAsia" w:ascii="宋体" w:hAnsi="宋体" w:eastAsia="宋体"/>
                <w:lang w:eastAsia="zh-CN"/>
              </w:rPr>
              <w:t>）</w:t>
            </w:r>
            <w:r>
              <w:rPr>
                <w:rFonts w:hint="eastAsia" w:ascii="宋体" w:hAnsi="宋体" w:eastAsia="宋体"/>
              </w:rPr>
              <w:t>≥4级，克重：≥250g/㎡；</w:t>
            </w:r>
          </w:p>
          <w:p>
            <w:pPr>
              <w:pStyle w:val="40"/>
              <w:bidi w:val="0"/>
              <w:rPr>
                <w:rFonts w:hint="eastAsia" w:ascii="宋体" w:hAnsi="宋体" w:eastAsia="宋体"/>
              </w:rPr>
            </w:pPr>
            <w:r>
              <w:rPr>
                <w:rFonts w:hint="eastAsia" w:ascii="宋体" w:hAnsi="宋体" w:eastAsia="宋体"/>
              </w:rPr>
              <w:t>款式：(1)男款：平驳三粒领镶边上衣</w:t>
            </w:r>
            <w:r>
              <w:rPr>
                <w:rFonts w:hint="eastAsia" w:ascii="宋体" w:hAnsi="宋体" w:eastAsia="宋体"/>
                <w:lang w:eastAsia="zh-CN"/>
              </w:rPr>
              <w:t>、</w:t>
            </w:r>
            <w:r>
              <w:rPr>
                <w:rFonts w:hint="eastAsia" w:ascii="宋体" w:hAnsi="宋体" w:eastAsia="宋体"/>
              </w:rPr>
              <w:t>松紧腰下装</w:t>
            </w:r>
            <w:r>
              <w:rPr>
                <w:rFonts w:hint="eastAsia" w:ascii="宋体" w:hAnsi="宋体" w:eastAsia="宋体"/>
                <w:lang w:eastAsia="zh-CN"/>
              </w:rPr>
              <w:t>(</w:t>
            </w:r>
            <w:r>
              <w:rPr>
                <w:rFonts w:hint="eastAsia" w:ascii="宋体" w:hAnsi="宋体" w:eastAsia="宋体"/>
              </w:rPr>
              <w:t>西裤</w:t>
            </w:r>
            <w:r>
              <w:rPr>
                <w:rFonts w:hint="eastAsia" w:ascii="宋体" w:hAnsi="宋体" w:eastAsia="宋体"/>
                <w:lang w:eastAsia="zh-CN"/>
              </w:rPr>
              <w:t>)</w:t>
            </w:r>
            <w:r>
              <w:rPr>
                <w:rFonts w:hint="eastAsia" w:ascii="宋体" w:hAnsi="宋体" w:eastAsia="宋体"/>
              </w:rPr>
              <w:t>；</w:t>
            </w:r>
          </w:p>
          <w:p>
            <w:pPr>
              <w:pStyle w:val="40"/>
              <w:numPr>
                <w:ilvl w:val="0"/>
                <w:numId w:val="0"/>
              </w:numPr>
              <w:bidi w:val="0"/>
              <w:ind w:leftChars="20"/>
              <w:rPr>
                <w:rFonts w:hint="eastAsia" w:ascii="宋体" w:hAnsi="宋体" w:eastAsia="宋体"/>
              </w:rPr>
            </w:pPr>
            <w:r>
              <w:rPr>
                <w:rFonts w:hint="eastAsia" w:ascii="宋体" w:hAnsi="宋体" w:eastAsia="宋体"/>
              </w:rPr>
              <w:t>(2)女款：无领上衣镶牙条，松紧腰西裤，齐膝包裙。说明：女士下装含西裤和包裙。</w:t>
            </w:r>
          </w:p>
          <w:p>
            <w:pPr>
              <w:pStyle w:val="40"/>
              <w:bidi w:val="0"/>
              <w:rPr>
                <w:rFonts w:hint="eastAsia" w:ascii="宋体" w:hAnsi="宋体" w:eastAsia="宋体"/>
              </w:rPr>
            </w:pPr>
            <w:r>
              <w:rPr>
                <w:rFonts w:hint="eastAsia" w:ascii="宋体" w:hAnsi="宋体" w:eastAsia="宋体"/>
              </w:rPr>
              <w:t>颜色：上衣</w:t>
            </w:r>
            <w:r>
              <w:rPr>
                <w:rFonts w:hint="eastAsia" w:ascii="宋体" w:hAnsi="宋体" w:eastAsia="宋体"/>
                <w:lang w:eastAsia="zh-CN"/>
              </w:rPr>
              <w:t>、</w:t>
            </w:r>
            <w:r>
              <w:rPr>
                <w:rFonts w:hint="eastAsia" w:ascii="宋体" w:hAnsi="宋体" w:eastAsia="宋体"/>
              </w:rPr>
              <w:t>下装均为黑色；</w:t>
            </w:r>
          </w:p>
          <w:p>
            <w:pPr>
              <w:pStyle w:val="40"/>
              <w:bidi w:val="0"/>
              <w:rPr>
                <w:rFonts w:hint="eastAsia" w:ascii="宋体" w:hAnsi="宋体" w:eastAsia="宋体"/>
              </w:rPr>
            </w:pPr>
            <w:r>
              <w:rPr>
                <w:rFonts w:hint="eastAsia" w:ascii="宋体" w:hAnsi="宋体" w:eastAsia="宋体"/>
              </w:rPr>
              <w:t>做工：领口左右对称，袋位高低一致，上袖圆顺，镶条美观，整体平服，纽扣牢固，明线顺直。</w:t>
            </w:r>
          </w:p>
          <w:p>
            <w:pPr>
              <w:pStyle w:val="40"/>
              <w:bidi w:val="0"/>
              <w:rPr>
                <w:rFonts w:hint="eastAsia" w:ascii="宋体" w:hAnsi="宋体" w:eastAsia="宋体"/>
              </w:rPr>
            </w:pPr>
            <w:r>
              <w:rPr>
                <w:rFonts w:hint="eastAsia" w:ascii="宋体" w:hAnsi="宋体" w:eastAsia="宋体"/>
              </w:rPr>
              <w:t>★符合《国</w:t>
            </w:r>
            <w:r>
              <w:rPr>
                <w:rFonts w:hint="eastAsia" w:ascii="宋体" w:hAnsi="宋体" w:eastAsia="宋体"/>
                <w:lang w:val="en-US" w:eastAsia="zh-CN"/>
              </w:rPr>
              <w:t>家</w:t>
            </w:r>
            <w:r>
              <w:rPr>
                <w:rFonts w:hint="eastAsia" w:ascii="宋体" w:hAnsi="宋体" w:eastAsia="宋体"/>
              </w:rPr>
              <w:t>纺织品基本安全技术规</w:t>
            </w:r>
            <w:r>
              <w:rPr>
                <w:rFonts w:hint="eastAsia" w:ascii="宋体" w:hAnsi="宋体" w:eastAsia="宋体"/>
                <w:lang w:val="en-US" w:eastAsia="zh-CN"/>
              </w:rPr>
              <w:t>范</w:t>
            </w:r>
            <w:r>
              <w:rPr>
                <w:rFonts w:hint="eastAsia" w:ascii="宋体" w:hAnsi="宋体" w:eastAsia="宋体"/>
              </w:rPr>
              <w:t>》GB18401-2010标准。</w:t>
            </w:r>
          </w:p>
          <w:p>
            <w:pPr>
              <w:pStyle w:val="40"/>
              <w:bidi w:val="0"/>
              <w:rPr>
                <w:rFonts w:hint="eastAsia" w:ascii="宋体" w:hAnsi="宋体" w:eastAsia="宋体"/>
              </w:rPr>
            </w:pPr>
            <w:r>
              <w:rPr>
                <w:rFonts w:hint="eastAsia" w:ascii="宋体" w:hAnsi="宋体" w:eastAsia="宋体"/>
              </w:rPr>
              <w:t>▲投标时投标人提供国家认可的第三方检测机构出具的主体面料质量检验合格报告复印件</w:t>
            </w:r>
            <w:r>
              <w:rPr>
                <w:rFonts w:hint="eastAsia" w:ascii="宋体" w:hAnsi="宋体" w:eastAsia="宋体"/>
                <w:lang w:eastAsia="zh-CN"/>
              </w:rPr>
              <w:t>(</w:t>
            </w:r>
            <w:r>
              <w:rPr>
                <w:rFonts w:hint="eastAsia" w:ascii="宋体" w:hAnsi="宋体" w:eastAsia="宋体"/>
              </w:rPr>
              <w:t>该报告出具年限为2022年1月1日以后</w:t>
            </w:r>
            <w:r>
              <w:rPr>
                <w:rFonts w:hint="eastAsia" w:ascii="宋体" w:hAnsi="宋体" w:eastAsia="宋体"/>
                <w:lang w:eastAsia="zh-CN"/>
              </w:rPr>
              <w:t>)</w:t>
            </w:r>
            <w:r>
              <w:rPr>
                <w:rFonts w:hint="eastAsia" w:ascii="宋体" w:hAnsi="宋体" w:eastAsia="宋体"/>
              </w:rPr>
              <w:t>。</w:t>
            </w:r>
          </w:p>
        </w:tc>
        <w:tc>
          <w:tcPr>
            <w:tcW w:w="158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bookmarkStart w:id="1135" w:name="_Toc30016"/>
            <w:bookmarkStart w:id="1136" w:name="_Toc28729"/>
            <w:bookmarkStart w:id="1137" w:name="_Toc5170"/>
            <w:r>
              <w:rPr>
                <w:rFonts w:hint="eastAsia" w:ascii="宋体" w:hAnsi="宋体" w:eastAsia="宋体" w:cs="宋体"/>
                <w:color w:val="auto"/>
                <w:sz w:val="21"/>
                <w:szCs w:val="21"/>
                <w:highlight w:val="none"/>
              </w:rPr>
              <w:drawing>
                <wp:inline distT="0" distB="0" distL="114300" distR="114300">
                  <wp:extent cx="918845" cy="2453640"/>
                  <wp:effectExtent l="0" t="0" r="5080" b="381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3"/>
                          <a:srcRect r="50883" b="17206"/>
                          <a:stretch>
                            <a:fillRect/>
                          </a:stretch>
                        </pic:blipFill>
                        <pic:spPr>
                          <a:xfrm>
                            <a:off x="0" y="0"/>
                            <a:ext cx="918845" cy="2453640"/>
                          </a:xfrm>
                          <a:prstGeom prst="rect">
                            <a:avLst/>
                          </a:prstGeom>
                          <a:noFill/>
                          <a:ln>
                            <a:noFill/>
                          </a:ln>
                        </pic:spPr>
                      </pic:pic>
                    </a:graphicData>
                  </a:graphic>
                </wp:inline>
              </w:drawing>
            </w:r>
            <w:bookmarkEnd w:id="1135"/>
            <w:bookmarkEnd w:id="1136"/>
            <w:bookmarkEnd w:id="1137"/>
          </w:p>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p>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INCLUDEPICTURE \d "D:\\用户目录\\我的文档\\Tencent Files\\343976908\\Image\\C2C\\DN7HT[D9KS3571D{[{CMKDE.jpg"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932180" cy="1880235"/>
                  <wp:effectExtent l="0" t="0" r="1270" b="5715"/>
                  <wp:docPr id="2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56"/>
                          <pic:cNvPicPr>
                            <a:picLocks noChangeAspect="1"/>
                          </pic:cNvPicPr>
                        </pic:nvPicPr>
                        <pic:blipFill>
                          <a:blip r:embed="rId24"/>
                          <a:stretch>
                            <a:fillRect/>
                          </a:stretch>
                        </pic:blipFill>
                        <pic:spPr>
                          <a:xfrm>
                            <a:off x="0" y="0"/>
                            <a:ext cx="932180" cy="1880235"/>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drawing>
                <wp:inline distT="0" distB="0" distL="114300" distR="114300">
                  <wp:extent cx="900430" cy="1858645"/>
                  <wp:effectExtent l="0" t="0" r="4445" b="825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5"/>
                          <a:stretch>
                            <a:fillRect/>
                          </a:stretch>
                        </pic:blipFill>
                        <pic:spPr>
                          <a:xfrm>
                            <a:off x="0" y="0"/>
                            <a:ext cx="900430" cy="18586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7"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p>
        </w:tc>
        <w:tc>
          <w:tcPr>
            <w:tcW w:w="474"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p>
        </w:tc>
        <w:tc>
          <w:tcPr>
            <w:tcW w:w="37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长袖衬衫</w:t>
            </w:r>
          </w:p>
        </w:tc>
        <w:tc>
          <w:tcPr>
            <w:tcW w:w="2322" w:type="pct"/>
            <w:noWrap w:val="0"/>
            <w:vAlign w:val="center"/>
          </w:tcPr>
          <w:p>
            <w:pPr>
              <w:pStyle w:val="40"/>
              <w:bidi w:val="0"/>
              <w:rPr>
                <w:rFonts w:hint="eastAsia" w:ascii="宋体" w:hAnsi="宋体" w:eastAsia="宋体"/>
              </w:rPr>
            </w:pPr>
            <w:r>
              <w:rPr>
                <w:rFonts w:hint="eastAsia" w:ascii="宋体" w:hAnsi="宋体" w:eastAsia="宋体"/>
              </w:rPr>
              <w:t>面料：6</w:t>
            </w:r>
            <w:r>
              <w:rPr>
                <w:rFonts w:hint="eastAsia" w:ascii="宋体" w:hAnsi="宋体" w:eastAsia="宋体"/>
                <w:lang w:val="en-US" w:eastAsia="zh-CN"/>
              </w:rPr>
              <w:t>5</w:t>
            </w:r>
            <w:r>
              <w:rPr>
                <w:rFonts w:hint="eastAsia" w:ascii="宋体" w:hAnsi="宋体" w:eastAsia="宋体"/>
              </w:rPr>
              <w:t>%</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rPr>
              <w:t>聚酯纤维，</w:t>
            </w:r>
            <w:r>
              <w:rPr>
                <w:rFonts w:hint="eastAsia" w:ascii="宋体" w:hAnsi="宋体" w:eastAsia="宋体"/>
                <w:lang w:val="en-US" w:eastAsia="zh-CN"/>
              </w:rPr>
              <w:t>35</w:t>
            </w:r>
            <w:r>
              <w:rPr>
                <w:rFonts w:hint="eastAsia" w:ascii="宋体" w:hAnsi="宋体" w:eastAsia="宋体"/>
              </w:rPr>
              <w:t>%</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rPr>
              <w:t>棉，纱支：</w:t>
            </w:r>
            <w:r>
              <w:rPr>
                <w:rFonts w:hint="eastAsia" w:ascii="宋体" w:hAnsi="宋体" w:eastAsia="宋体"/>
                <w:lang w:eastAsia="zh-CN"/>
              </w:rPr>
              <w:t>经向</w:t>
            </w:r>
            <w:r>
              <w:rPr>
                <w:rFonts w:hint="eastAsia" w:ascii="宋体" w:hAnsi="宋体" w:eastAsia="宋体"/>
              </w:rPr>
              <w:t>80s</w:t>
            </w:r>
            <w:r>
              <w:rPr>
                <w:rFonts w:hint="eastAsia" w:ascii="宋体" w:hAnsi="宋体" w:eastAsia="宋体"/>
                <w:lang w:eastAsia="zh-CN"/>
              </w:rPr>
              <w:t>(</w:t>
            </w:r>
            <w:r>
              <w:rPr>
                <w:rFonts w:hint="eastAsia" w:ascii="宋体" w:hAnsi="宋体" w:eastAsia="宋体"/>
              </w:rPr>
              <w:t>±2</w:t>
            </w:r>
            <w:r>
              <w:rPr>
                <w:rFonts w:hint="eastAsia" w:ascii="宋体" w:hAnsi="宋体" w:eastAsia="宋体"/>
                <w:lang w:eastAsia="zh-CN"/>
              </w:rPr>
              <w:t>)</w:t>
            </w:r>
            <w:r>
              <w:rPr>
                <w:rFonts w:hint="eastAsia" w:ascii="宋体" w:hAnsi="宋体" w:eastAsia="宋体"/>
                <w:lang w:val="en-US" w:eastAsia="zh-CN"/>
              </w:rPr>
              <w:t>/2</w:t>
            </w:r>
            <w:r>
              <w:rPr>
                <w:rFonts w:hint="eastAsia" w:ascii="宋体" w:hAnsi="宋体" w:eastAsia="宋体"/>
                <w:lang w:eastAsia="zh-CN"/>
              </w:rPr>
              <w:t>×纬向</w:t>
            </w:r>
            <w:r>
              <w:rPr>
                <w:rFonts w:hint="eastAsia" w:ascii="宋体" w:hAnsi="宋体" w:eastAsia="宋体"/>
                <w:lang w:val="en-US" w:eastAsia="zh-CN"/>
              </w:rPr>
              <w:t>120D</w:t>
            </w:r>
            <w:r>
              <w:rPr>
                <w:rFonts w:hint="eastAsia" w:ascii="宋体" w:hAnsi="宋体" w:eastAsia="宋体"/>
                <w:lang w:eastAsia="zh-CN"/>
              </w:rPr>
              <w:t>(</w:t>
            </w:r>
            <w:r>
              <w:rPr>
                <w:rFonts w:hint="eastAsia" w:ascii="宋体" w:hAnsi="宋体" w:eastAsia="宋体"/>
              </w:rPr>
              <w:t>±2</w:t>
            </w:r>
            <w:r>
              <w:rPr>
                <w:rFonts w:hint="eastAsia" w:ascii="宋体" w:hAnsi="宋体" w:eastAsia="宋体"/>
                <w:lang w:eastAsia="zh-CN"/>
              </w:rPr>
              <w:t>)，密度：</w:t>
            </w:r>
            <w:r>
              <w:rPr>
                <w:rFonts w:hint="eastAsia" w:ascii="宋体" w:hAnsi="宋体" w:eastAsia="宋体"/>
                <w:lang w:val="en-US" w:eastAsia="zh-CN"/>
              </w:rPr>
              <w:t>510</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lang w:val="en-US" w:eastAsia="zh-CN"/>
              </w:rPr>
              <w:t>*335</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lang w:val="en-US" w:eastAsia="zh-CN"/>
              </w:rPr>
              <w:t>根/10cm</w:t>
            </w:r>
            <w:r>
              <w:rPr>
                <w:rFonts w:hint="eastAsia" w:ascii="宋体" w:hAnsi="宋体" w:eastAsia="宋体"/>
                <w:lang w:eastAsia="zh-CN"/>
              </w:rPr>
              <w:t>，</w:t>
            </w:r>
            <w:r>
              <w:rPr>
                <w:rFonts w:hint="eastAsia" w:ascii="宋体" w:hAnsi="宋体" w:eastAsia="宋体"/>
              </w:rPr>
              <w:t>克重：≥</w:t>
            </w:r>
            <w:r>
              <w:rPr>
                <w:rFonts w:hint="eastAsia" w:ascii="宋体" w:hAnsi="宋体" w:eastAsia="宋体"/>
                <w:lang w:val="en-US" w:eastAsia="zh-CN"/>
              </w:rPr>
              <w:t>120</w:t>
            </w:r>
            <w:r>
              <w:rPr>
                <w:rFonts w:hint="eastAsia" w:ascii="宋体" w:hAnsi="宋体" w:eastAsia="宋体"/>
              </w:rPr>
              <w:t>g/㎡</w:t>
            </w:r>
            <w:r>
              <w:rPr>
                <w:rFonts w:hint="eastAsia" w:ascii="宋体" w:hAnsi="宋体" w:eastAsia="宋体"/>
                <w:lang w:eastAsia="zh-CN"/>
              </w:rPr>
              <w:t>，无异味</w:t>
            </w:r>
            <w:r>
              <w:rPr>
                <w:rFonts w:hint="eastAsia" w:ascii="宋体" w:hAnsi="宋体" w:eastAsia="宋体"/>
              </w:rPr>
              <w:t>。</w:t>
            </w:r>
          </w:p>
          <w:p>
            <w:pPr>
              <w:pStyle w:val="40"/>
              <w:bidi w:val="0"/>
              <w:rPr>
                <w:rFonts w:hint="eastAsia" w:ascii="宋体" w:hAnsi="宋体" w:eastAsia="宋体"/>
              </w:rPr>
            </w:pPr>
            <w:r>
              <w:rPr>
                <w:rFonts w:hint="eastAsia" w:ascii="宋体" w:hAnsi="宋体" w:eastAsia="宋体"/>
              </w:rPr>
              <w:t>款式：</w:t>
            </w:r>
            <w:r>
              <w:rPr>
                <w:rFonts w:hint="eastAsia" w:ascii="宋体" w:hAnsi="宋体" w:eastAsia="宋体"/>
                <w:lang w:eastAsia="zh-CN"/>
              </w:rPr>
              <w:t>(</w:t>
            </w:r>
            <w:r>
              <w:rPr>
                <w:rFonts w:hint="eastAsia" w:ascii="宋体" w:hAnsi="宋体" w:eastAsia="宋体"/>
              </w:rPr>
              <w:t>1</w:t>
            </w:r>
            <w:r>
              <w:rPr>
                <w:rFonts w:hint="eastAsia" w:ascii="宋体" w:hAnsi="宋体" w:eastAsia="宋体"/>
                <w:lang w:eastAsia="zh-CN"/>
              </w:rPr>
              <w:t>)</w:t>
            </w:r>
            <w:r>
              <w:rPr>
                <w:rFonts w:hint="eastAsia" w:ascii="宋体" w:hAnsi="宋体" w:eastAsia="宋体"/>
              </w:rPr>
              <w:t>男式标准八字领，圆摆衬衫。</w:t>
            </w:r>
            <w:r>
              <w:rPr>
                <w:rFonts w:hint="eastAsia" w:ascii="宋体" w:hAnsi="宋体" w:eastAsia="宋体"/>
                <w:lang w:eastAsia="zh-CN"/>
              </w:rPr>
              <w:t>(</w:t>
            </w:r>
            <w:r>
              <w:rPr>
                <w:rFonts w:hint="eastAsia" w:ascii="宋体" w:hAnsi="宋体" w:eastAsia="宋体"/>
              </w:rPr>
              <w:t>2</w:t>
            </w:r>
            <w:r>
              <w:rPr>
                <w:rFonts w:hint="eastAsia" w:ascii="宋体" w:hAnsi="宋体" w:eastAsia="宋体"/>
                <w:lang w:eastAsia="zh-CN"/>
              </w:rPr>
              <w:t>)</w:t>
            </w:r>
            <w:r>
              <w:rPr>
                <w:rFonts w:hint="eastAsia" w:ascii="宋体" w:hAnsi="宋体" w:eastAsia="宋体"/>
              </w:rPr>
              <w:t>女式小方领，园摆衬衫。</w:t>
            </w:r>
          </w:p>
          <w:p>
            <w:pPr>
              <w:pStyle w:val="40"/>
              <w:bidi w:val="0"/>
              <w:rPr>
                <w:rFonts w:hint="eastAsia" w:ascii="宋体" w:hAnsi="宋体" w:eastAsia="宋体"/>
              </w:rPr>
            </w:pPr>
            <w:r>
              <w:rPr>
                <w:rFonts w:hint="eastAsia" w:ascii="宋体" w:hAnsi="宋体" w:eastAsia="宋体"/>
              </w:rPr>
              <w:t>颜色：白色衬衫</w:t>
            </w:r>
          </w:p>
          <w:p>
            <w:pPr>
              <w:pStyle w:val="40"/>
              <w:bidi w:val="0"/>
              <w:rPr>
                <w:rFonts w:hint="eastAsia" w:ascii="宋体" w:hAnsi="宋体" w:eastAsia="宋体"/>
              </w:rPr>
            </w:pPr>
            <w:r>
              <w:rPr>
                <w:rFonts w:hint="eastAsia" w:ascii="宋体" w:hAnsi="宋体" w:eastAsia="宋体"/>
              </w:rPr>
              <w:t>做工：明线顺直，左右领对称，门襟顺直。</w:t>
            </w:r>
          </w:p>
          <w:p>
            <w:pPr>
              <w:pStyle w:val="40"/>
              <w:bidi w:val="0"/>
              <w:rPr>
                <w:rFonts w:hint="eastAsia" w:ascii="宋体" w:hAnsi="宋体" w:eastAsia="宋体"/>
              </w:rPr>
            </w:pPr>
            <w:r>
              <w:rPr>
                <w:rFonts w:hint="eastAsia" w:ascii="宋体" w:hAnsi="宋体" w:eastAsia="宋体"/>
              </w:rPr>
              <w:t>★符合《国</w:t>
            </w:r>
            <w:r>
              <w:rPr>
                <w:rFonts w:hint="eastAsia" w:ascii="宋体" w:hAnsi="宋体" w:eastAsia="宋体"/>
                <w:lang w:val="en-US" w:eastAsia="zh-CN"/>
              </w:rPr>
              <w:t>家</w:t>
            </w:r>
            <w:r>
              <w:rPr>
                <w:rFonts w:hint="eastAsia" w:ascii="宋体" w:hAnsi="宋体" w:eastAsia="宋体"/>
              </w:rPr>
              <w:t>纺织品基本安全技术规</w:t>
            </w:r>
            <w:r>
              <w:rPr>
                <w:rFonts w:hint="eastAsia" w:ascii="宋体" w:hAnsi="宋体" w:eastAsia="宋体"/>
                <w:lang w:val="en-US" w:eastAsia="zh-CN"/>
              </w:rPr>
              <w:t>范</w:t>
            </w:r>
            <w:r>
              <w:rPr>
                <w:rFonts w:hint="eastAsia" w:ascii="宋体" w:hAnsi="宋体" w:eastAsia="宋体"/>
              </w:rPr>
              <w:t>》GB18401-2010标准。</w:t>
            </w:r>
          </w:p>
          <w:p>
            <w:pPr>
              <w:pStyle w:val="40"/>
              <w:bidi w:val="0"/>
              <w:rPr>
                <w:rFonts w:hint="eastAsia" w:ascii="宋体" w:hAnsi="宋体" w:eastAsia="宋体"/>
                <w:lang w:eastAsia="zh-CN"/>
              </w:rPr>
            </w:pPr>
            <w:r>
              <w:rPr>
                <w:rFonts w:hint="eastAsia" w:ascii="宋体" w:hAnsi="宋体" w:eastAsia="宋体"/>
              </w:rPr>
              <w:t>▲投标时投标人提供国家认可的第三方检测机构出具的主体面料质量检验合格报告复印件</w:t>
            </w:r>
            <w:r>
              <w:rPr>
                <w:rFonts w:hint="eastAsia" w:ascii="宋体" w:hAnsi="宋体" w:eastAsia="宋体"/>
                <w:lang w:eastAsia="zh-CN"/>
              </w:rPr>
              <w:t>(</w:t>
            </w:r>
            <w:r>
              <w:rPr>
                <w:rFonts w:hint="eastAsia" w:ascii="宋体" w:hAnsi="宋体" w:eastAsia="宋体"/>
              </w:rPr>
              <w:t>该报告出具年限为2022年1月1日以后</w:t>
            </w:r>
            <w:r>
              <w:rPr>
                <w:rFonts w:hint="eastAsia" w:ascii="宋体" w:hAnsi="宋体" w:eastAsia="宋体"/>
                <w:lang w:eastAsia="zh-CN"/>
              </w:rPr>
              <w:t>)。</w:t>
            </w:r>
          </w:p>
        </w:tc>
        <w:tc>
          <w:tcPr>
            <w:tcW w:w="158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875665" cy="1475740"/>
                  <wp:effectExtent l="0" t="0" r="635" b="63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26"/>
                          <a:srcRect r="51572" b="52321"/>
                          <a:stretch>
                            <a:fillRect/>
                          </a:stretch>
                        </pic:blipFill>
                        <pic:spPr>
                          <a:xfrm>
                            <a:off x="0" y="0"/>
                            <a:ext cx="875665" cy="1475740"/>
                          </a:xfrm>
                          <a:prstGeom prst="rect">
                            <a:avLst/>
                          </a:prstGeom>
                          <a:noFill/>
                          <a:ln>
                            <a:noFill/>
                          </a:ln>
                        </pic:spPr>
                      </pic:pic>
                    </a:graphicData>
                  </a:graphic>
                </wp:inline>
              </w:drawing>
            </w:r>
            <w:r>
              <w:rPr>
                <w:rFonts w:hint="eastAsia" w:ascii="宋体" w:hAnsi="宋体" w:eastAsia="宋体" w:cs="宋体"/>
                <w:color w:val="auto"/>
                <w:sz w:val="21"/>
                <w:szCs w:val="21"/>
                <w:highlight w:val="none"/>
              </w:rPr>
              <w:drawing>
                <wp:inline distT="0" distB="0" distL="114300" distR="114300">
                  <wp:extent cx="939800" cy="1485265"/>
                  <wp:effectExtent l="0" t="0" r="317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a:srcRect r="53658" b="48654"/>
                          <a:stretch>
                            <a:fillRect/>
                          </a:stretch>
                        </pic:blipFill>
                        <pic:spPr>
                          <a:xfrm>
                            <a:off x="0" y="0"/>
                            <a:ext cx="939800" cy="1485265"/>
                          </a:xfrm>
                          <a:prstGeom prst="rect">
                            <a:avLst/>
                          </a:prstGeom>
                          <a:noFill/>
                          <a:ln>
                            <a:noFill/>
                          </a:ln>
                        </pic:spPr>
                      </pic:pic>
                    </a:graphicData>
                  </a:graphic>
                </wp:inline>
              </w:drawing>
            </w:r>
          </w:p>
          <w:p>
            <w:pPr>
              <w:pStyle w:val="2"/>
              <w:rPr>
                <w:rFonts w:hint="eastAsia"/>
              </w:rPr>
            </w:pPr>
          </w:p>
          <w:p>
            <w:pPr>
              <w:pStyle w:val="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7"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p>
        </w:tc>
        <w:tc>
          <w:tcPr>
            <w:tcW w:w="474"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p>
        </w:tc>
        <w:tc>
          <w:tcPr>
            <w:tcW w:w="37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领带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仅男西装套装含</w:t>
            </w:r>
            <w:r>
              <w:rPr>
                <w:rFonts w:hint="eastAsia" w:ascii="宋体" w:hAnsi="宋体" w:eastAsia="宋体" w:cs="宋体"/>
                <w:color w:val="auto"/>
                <w:sz w:val="21"/>
                <w:szCs w:val="21"/>
                <w:highlight w:val="none"/>
                <w:lang w:eastAsia="zh-CN"/>
              </w:rPr>
              <w:t>)</w:t>
            </w:r>
          </w:p>
        </w:tc>
        <w:tc>
          <w:tcPr>
            <w:tcW w:w="2322" w:type="pct"/>
            <w:noWrap w:val="0"/>
            <w:vAlign w:val="center"/>
          </w:tcPr>
          <w:p>
            <w:pPr>
              <w:pStyle w:val="40"/>
              <w:bidi w:val="0"/>
              <w:rPr>
                <w:rFonts w:hint="eastAsia" w:ascii="宋体" w:hAnsi="宋体" w:eastAsia="宋体"/>
              </w:rPr>
            </w:pPr>
            <w:r>
              <w:rPr>
                <w:rFonts w:hint="eastAsia" w:ascii="宋体" w:hAnsi="宋体" w:eastAsia="宋体"/>
              </w:rPr>
              <w:t>面料：领带面料为100%聚酯纤维。</w:t>
            </w:r>
          </w:p>
          <w:p>
            <w:pPr>
              <w:pStyle w:val="40"/>
              <w:bidi w:val="0"/>
              <w:rPr>
                <w:rFonts w:hint="eastAsia" w:ascii="宋体" w:hAnsi="宋体" w:eastAsia="宋体"/>
              </w:rPr>
            </w:pPr>
            <w:r>
              <w:rPr>
                <w:rFonts w:hint="eastAsia" w:ascii="宋体" w:hAnsi="宋体" w:eastAsia="宋体"/>
              </w:rPr>
              <w:t>款式：标准领带。</w:t>
            </w:r>
          </w:p>
          <w:p>
            <w:pPr>
              <w:pStyle w:val="40"/>
              <w:bidi w:val="0"/>
              <w:rPr>
                <w:rFonts w:hint="eastAsia" w:ascii="宋体" w:hAnsi="宋体" w:eastAsia="宋体"/>
              </w:rPr>
            </w:pPr>
            <w:r>
              <w:rPr>
                <w:rFonts w:hint="eastAsia" w:ascii="宋体" w:hAnsi="宋体" w:eastAsia="宋体"/>
              </w:rPr>
              <w:t>颜色：藏蓝色</w:t>
            </w:r>
            <w:r>
              <w:rPr>
                <w:rFonts w:hint="eastAsia" w:ascii="宋体" w:hAnsi="宋体" w:eastAsia="宋体"/>
                <w:lang w:val="en-US"/>
              </w:rPr>
              <w:t>(</w:t>
            </w:r>
            <w:r>
              <w:rPr>
                <w:rFonts w:hint="eastAsia" w:ascii="宋体" w:hAnsi="宋体" w:eastAsia="宋体"/>
              </w:rPr>
              <w:t>格花</w:t>
            </w:r>
            <w:r>
              <w:rPr>
                <w:rFonts w:hint="eastAsia" w:ascii="宋体" w:hAnsi="宋体" w:eastAsia="宋体"/>
                <w:lang w:val="en-US"/>
              </w:rPr>
              <w:t>)</w:t>
            </w:r>
          </w:p>
          <w:p>
            <w:pPr>
              <w:pStyle w:val="40"/>
              <w:bidi w:val="0"/>
              <w:rPr>
                <w:rFonts w:hint="eastAsia" w:ascii="宋体" w:hAnsi="宋体" w:eastAsia="宋体"/>
              </w:rPr>
            </w:pPr>
            <w:r>
              <w:rPr>
                <w:rFonts w:hint="eastAsia" w:ascii="宋体" w:hAnsi="宋体" w:eastAsia="宋体"/>
              </w:rPr>
              <w:t>做工：明线顺直，不崩线。</w:t>
            </w:r>
          </w:p>
        </w:tc>
        <w:tc>
          <w:tcPr>
            <w:tcW w:w="158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396240" cy="1153795"/>
                  <wp:effectExtent l="0" t="0" r="3810" b="8255"/>
                  <wp:docPr id="26" name="图片 11" descr="7365c21e33d354ad1c967927eae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7365c21e33d354ad1c967927eae4269"/>
                          <pic:cNvPicPr>
                            <a:picLocks noChangeAspect="1"/>
                          </pic:cNvPicPr>
                        </pic:nvPicPr>
                        <pic:blipFill>
                          <a:blip r:embed="rId28"/>
                          <a:srcRect l="27090" r="27090"/>
                          <a:stretch>
                            <a:fillRect/>
                          </a:stretch>
                        </pic:blipFill>
                        <pic:spPr>
                          <a:xfrm>
                            <a:off x="0" y="0"/>
                            <a:ext cx="396240" cy="11537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7" w:type="pct"/>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lang w:eastAsia="zh-CN"/>
              </w:rPr>
            </w:pPr>
            <w:bookmarkStart w:id="1138" w:name="_Toc3626"/>
            <w:r>
              <w:rPr>
                <w:rFonts w:hint="eastAsia" w:ascii="宋体" w:hAnsi="宋体" w:eastAsia="宋体" w:cs="宋体"/>
                <w:color w:val="auto"/>
                <w:sz w:val="21"/>
                <w:szCs w:val="21"/>
                <w:highlight w:val="none"/>
                <w:lang w:val="en-US" w:eastAsia="zh-CN"/>
              </w:rPr>
              <w:t>3</w:t>
            </w:r>
            <w:bookmarkEnd w:id="1138"/>
          </w:p>
        </w:tc>
        <w:tc>
          <w:tcPr>
            <w:tcW w:w="474" w:type="pct"/>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bookmarkStart w:id="1139" w:name="_Toc10703"/>
            <w:bookmarkStart w:id="1140" w:name="_Toc24700"/>
            <w:bookmarkStart w:id="1141" w:name="_Toc320"/>
            <w:r>
              <w:rPr>
                <w:rFonts w:hint="eastAsia" w:ascii="宋体" w:hAnsi="宋体" w:eastAsia="宋体" w:cs="宋体"/>
                <w:color w:val="auto"/>
                <w:sz w:val="21"/>
                <w:szCs w:val="21"/>
                <w:highlight w:val="none"/>
              </w:rPr>
              <w:t>B1工装套装</w:t>
            </w:r>
            <w:bookmarkEnd w:id="1139"/>
            <w:bookmarkEnd w:id="1140"/>
            <w:bookmarkEnd w:id="1141"/>
          </w:p>
        </w:tc>
        <w:tc>
          <w:tcPr>
            <w:tcW w:w="37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长袖茄克套装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含上衣</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下装</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p>
        </w:tc>
        <w:tc>
          <w:tcPr>
            <w:tcW w:w="2322" w:type="pct"/>
            <w:noWrap w:val="0"/>
            <w:vAlign w:val="center"/>
          </w:tcPr>
          <w:p>
            <w:pPr>
              <w:pStyle w:val="40"/>
              <w:bidi w:val="0"/>
              <w:rPr>
                <w:rFonts w:hint="eastAsia" w:ascii="宋体" w:hAnsi="宋体" w:eastAsia="宋体"/>
                <w:lang w:eastAsia="zh-CN"/>
              </w:rPr>
            </w:pPr>
            <w:r>
              <w:rPr>
                <w:rFonts w:hint="eastAsia" w:ascii="宋体" w:hAnsi="宋体" w:eastAsia="宋体"/>
                <w:lang w:val="en-US" w:eastAsia="zh-CN"/>
              </w:rPr>
              <w:t>上装</w:t>
            </w:r>
            <w:r>
              <w:rPr>
                <w:rFonts w:hint="eastAsia" w:ascii="宋体" w:hAnsi="宋体" w:eastAsia="宋体"/>
              </w:rPr>
              <w:t>面料：涤棉面料，65%</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rPr>
              <w:t>聚酯纤维</w:t>
            </w:r>
            <w:r>
              <w:rPr>
                <w:rFonts w:hint="eastAsia" w:ascii="宋体" w:hAnsi="宋体" w:eastAsia="宋体"/>
                <w:lang w:eastAsia="zh-CN"/>
              </w:rPr>
              <w:t>，</w:t>
            </w:r>
            <w:r>
              <w:rPr>
                <w:rFonts w:hint="eastAsia" w:ascii="宋体" w:hAnsi="宋体" w:eastAsia="宋体"/>
              </w:rPr>
              <w:t>35%</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rPr>
              <w:t>棉</w:t>
            </w:r>
            <w:r>
              <w:rPr>
                <w:rFonts w:hint="eastAsia" w:ascii="宋体" w:hAnsi="宋体" w:eastAsia="宋体"/>
                <w:lang w:eastAsia="zh-CN"/>
              </w:rPr>
              <w:t>，</w:t>
            </w:r>
            <w:r>
              <w:rPr>
                <w:rFonts w:hint="eastAsia" w:ascii="宋体" w:hAnsi="宋体" w:eastAsia="宋体"/>
              </w:rPr>
              <w:t>纱支：2</w:t>
            </w:r>
            <w:r>
              <w:rPr>
                <w:rFonts w:hint="eastAsia" w:ascii="宋体" w:hAnsi="宋体" w:eastAsia="宋体"/>
                <w:lang w:val="en-US" w:eastAsia="zh-CN"/>
              </w:rPr>
              <w:t>0</w:t>
            </w:r>
            <w:r>
              <w:rPr>
                <w:rFonts w:hint="eastAsia" w:ascii="宋体" w:hAnsi="宋体" w:eastAsia="宋体"/>
              </w:rPr>
              <w:t>s</w:t>
            </w:r>
            <w:r>
              <w:rPr>
                <w:rFonts w:hint="eastAsia" w:ascii="宋体" w:hAnsi="宋体" w:eastAsia="宋体"/>
                <w:lang w:eastAsia="zh-CN"/>
              </w:rPr>
              <w:t>(</w:t>
            </w:r>
            <w:r>
              <w:rPr>
                <w:rFonts w:hint="eastAsia" w:ascii="宋体" w:hAnsi="宋体" w:eastAsia="宋体"/>
              </w:rPr>
              <w:t>±2</w:t>
            </w:r>
            <w:r>
              <w:rPr>
                <w:rFonts w:hint="eastAsia" w:ascii="宋体" w:hAnsi="宋体" w:eastAsia="宋体"/>
                <w:lang w:eastAsia="zh-CN"/>
              </w:rPr>
              <w:t>)×</w:t>
            </w:r>
            <w:r>
              <w:rPr>
                <w:rFonts w:hint="eastAsia" w:ascii="宋体" w:hAnsi="宋体" w:eastAsia="宋体"/>
                <w:lang w:val="en-US" w:eastAsia="zh-CN"/>
              </w:rPr>
              <w:t>15</w:t>
            </w:r>
            <w:r>
              <w:rPr>
                <w:rFonts w:hint="eastAsia" w:ascii="宋体" w:hAnsi="宋体" w:eastAsia="宋体"/>
              </w:rPr>
              <w:t>s</w:t>
            </w:r>
            <w:r>
              <w:rPr>
                <w:rFonts w:hint="eastAsia" w:ascii="宋体" w:hAnsi="宋体" w:eastAsia="宋体"/>
                <w:lang w:eastAsia="zh-CN"/>
              </w:rPr>
              <w:t>(</w:t>
            </w:r>
            <w:r>
              <w:rPr>
                <w:rFonts w:hint="eastAsia" w:ascii="宋体" w:hAnsi="宋体" w:eastAsia="宋体"/>
              </w:rPr>
              <w:t>±2</w:t>
            </w:r>
            <w:r>
              <w:rPr>
                <w:rFonts w:hint="eastAsia" w:ascii="宋体" w:hAnsi="宋体" w:eastAsia="宋体"/>
                <w:lang w:eastAsia="zh-CN"/>
              </w:rPr>
              <w:t>)</w:t>
            </w:r>
            <w:r>
              <w:rPr>
                <w:rFonts w:hint="eastAsia" w:ascii="宋体" w:hAnsi="宋体" w:eastAsia="宋体"/>
              </w:rPr>
              <w:t>，密度：</w:t>
            </w:r>
            <w:r>
              <w:rPr>
                <w:rFonts w:hint="eastAsia" w:ascii="宋体" w:hAnsi="宋体" w:eastAsia="宋体"/>
                <w:lang w:val="en-US" w:eastAsia="zh-CN"/>
              </w:rPr>
              <w:t>505</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lang w:val="en-US" w:eastAsia="zh-CN"/>
              </w:rPr>
              <w:t>*220</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rPr>
              <w:t>根/10㎝，克重：≥</w:t>
            </w:r>
            <w:r>
              <w:rPr>
                <w:rFonts w:hint="eastAsia" w:ascii="宋体" w:hAnsi="宋体" w:eastAsia="宋体"/>
                <w:lang w:val="en-US" w:eastAsia="zh-CN"/>
              </w:rPr>
              <w:t>230</w:t>
            </w:r>
            <w:r>
              <w:rPr>
                <w:rFonts w:hint="eastAsia" w:ascii="宋体" w:hAnsi="宋体" w:eastAsia="宋体"/>
              </w:rPr>
              <w:t>g/㎡</w:t>
            </w:r>
            <w:r>
              <w:rPr>
                <w:rFonts w:hint="eastAsia" w:ascii="宋体" w:hAnsi="宋体" w:eastAsia="宋体"/>
                <w:lang w:eastAsia="zh-CN"/>
              </w:rPr>
              <w:t>，无异味，耐水色牢度≥</w:t>
            </w:r>
            <w:r>
              <w:rPr>
                <w:rFonts w:hint="eastAsia" w:ascii="宋体" w:hAnsi="宋体" w:eastAsia="宋体"/>
                <w:lang w:val="en-US" w:eastAsia="zh-CN"/>
              </w:rPr>
              <w:t>4</w:t>
            </w:r>
            <w:r>
              <w:rPr>
                <w:rFonts w:hint="eastAsia" w:ascii="宋体" w:hAnsi="宋体" w:eastAsia="宋体"/>
                <w:lang w:eastAsia="zh-CN"/>
              </w:rPr>
              <w:t>；</w:t>
            </w:r>
          </w:p>
          <w:p>
            <w:pPr>
              <w:pStyle w:val="40"/>
              <w:numPr>
                <w:ilvl w:val="0"/>
                <w:numId w:val="0"/>
              </w:numPr>
              <w:bidi w:val="0"/>
              <w:ind w:leftChars="20"/>
              <w:rPr>
                <w:rFonts w:hint="eastAsia" w:ascii="宋体" w:hAnsi="宋体" w:eastAsia="宋体"/>
              </w:rPr>
            </w:pPr>
            <w:r>
              <w:rPr>
                <w:rFonts w:hint="eastAsia" w:ascii="宋体" w:hAnsi="宋体" w:eastAsia="宋体"/>
                <w:lang w:val="en-US" w:eastAsia="zh-CN"/>
              </w:rPr>
              <w:t>下装面料：</w:t>
            </w:r>
            <w:r>
              <w:rPr>
                <w:rFonts w:hint="eastAsia" w:ascii="宋体" w:hAnsi="宋体" w:eastAsia="宋体"/>
              </w:rPr>
              <w:t>65%</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rPr>
              <w:t>聚酯纤维35%</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rPr>
              <w:t>棉</w:t>
            </w:r>
            <w:r>
              <w:rPr>
                <w:rFonts w:hint="eastAsia" w:ascii="宋体" w:hAnsi="宋体" w:eastAsia="宋体"/>
                <w:lang w:eastAsia="zh-CN"/>
              </w:rPr>
              <w:t>，</w:t>
            </w:r>
            <w:r>
              <w:rPr>
                <w:rFonts w:hint="eastAsia" w:ascii="宋体" w:hAnsi="宋体" w:eastAsia="宋体"/>
              </w:rPr>
              <w:t>纱支：20s</w:t>
            </w:r>
            <w:r>
              <w:rPr>
                <w:rFonts w:hint="eastAsia" w:ascii="宋体" w:hAnsi="宋体" w:eastAsia="宋体"/>
                <w:lang w:eastAsia="zh-CN"/>
              </w:rPr>
              <w:t>(</w:t>
            </w:r>
            <w:r>
              <w:rPr>
                <w:rFonts w:hint="eastAsia" w:ascii="宋体" w:hAnsi="宋体" w:eastAsia="宋体"/>
              </w:rPr>
              <w:t>±2</w:t>
            </w:r>
            <w:r>
              <w:rPr>
                <w:rFonts w:hint="eastAsia" w:ascii="宋体" w:hAnsi="宋体" w:eastAsia="宋体"/>
                <w:lang w:eastAsia="zh-CN"/>
              </w:rPr>
              <w:t>)×</w:t>
            </w:r>
            <w:r>
              <w:rPr>
                <w:rFonts w:hint="eastAsia" w:ascii="宋体" w:hAnsi="宋体" w:eastAsia="宋体"/>
              </w:rPr>
              <w:t>1</w:t>
            </w:r>
            <w:r>
              <w:rPr>
                <w:rFonts w:hint="eastAsia" w:ascii="宋体" w:hAnsi="宋体" w:eastAsia="宋体"/>
                <w:lang w:val="en-US" w:eastAsia="zh-CN"/>
              </w:rPr>
              <w:t>5</w:t>
            </w:r>
            <w:r>
              <w:rPr>
                <w:rFonts w:hint="eastAsia" w:ascii="宋体" w:hAnsi="宋体" w:eastAsia="宋体"/>
              </w:rPr>
              <w:t>s</w:t>
            </w:r>
            <w:r>
              <w:rPr>
                <w:rFonts w:hint="eastAsia" w:ascii="宋体" w:hAnsi="宋体" w:eastAsia="宋体"/>
                <w:lang w:eastAsia="zh-CN"/>
              </w:rPr>
              <w:t>(</w:t>
            </w:r>
            <w:r>
              <w:rPr>
                <w:rFonts w:hint="eastAsia" w:ascii="宋体" w:hAnsi="宋体" w:eastAsia="宋体"/>
              </w:rPr>
              <w:t>±2</w:t>
            </w:r>
            <w:r>
              <w:rPr>
                <w:rFonts w:hint="eastAsia" w:ascii="宋体" w:hAnsi="宋体" w:eastAsia="宋体"/>
                <w:lang w:eastAsia="zh-CN"/>
              </w:rPr>
              <w:t>)</w:t>
            </w:r>
            <w:r>
              <w:rPr>
                <w:rFonts w:hint="eastAsia" w:ascii="宋体" w:hAnsi="宋体" w:eastAsia="宋体"/>
              </w:rPr>
              <w:t>，</w:t>
            </w:r>
            <w:r>
              <w:rPr>
                <w:rFonts w:hint="eastAsia" w:ascii="宋体" w:hAnsi="宋体" w:eastAsia="宋体"/>
                <w:lang w:val="en-US" w:eastAsia="zh-CN"/>
              </w:rPr>
              <w:t>密度：470</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lang w:val="en-US" w:eastAsia="zh-CN"/>
              </w:rPr>
              <w:t>195</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lang w:val="en-US" w:eastAsia="zh-CN"/>
              </w:rPr>
              <w:t>根/10cm，</w:t>
            </w:r>
            <w:r>
              <w:rPr>
                <w:rFonts w:hint="eastAsia" w:ascii="宋体" w:hAnsi="宋体" w:eastAsia="宋体"/>
              </w:rPr>
              <w:t>克重：≥23</w:t>
            </w:r>
            <w:r>
              <w:rPr>
                <w:rFonts w:hint="eastAsia" w:ascii="宋体" w:hAnsi="宋体" w:eastAsia="宋体"/>
                <w:lang w:val="en-US" w:eastAsia="zh-CN"/>
              </w:rPr>
              <w:t>0</w:t>
            </w:r>
            <w:r>
              <w:rPr>
                <w:rFonts w:hint="eastAsia" w:ascii="宋体" w:hAnsi="宋体" w:eastAsia="宋体"/>
              </w:rPr>
              <w:t>g/㎡</w:t>
            </w:r>
            <w:r>
              <w:rPr>
                <w:rFonts w:hint="eastAsia" w:ascii="宋体" w:hAnsi="宋体" w:eastAsia="宋体"/>
                <w:lang w:eastAsia="zh-CN"/>
              </w:rPr>
              <w:t>，无异味</w:t>
            </w:r>
            <w:r>
              <w:rPr>
                <w:rFonts w:hint="eastAsia" w:ascii="宋体" w:hAnsi="宋体" w:eastAsia="宋体"/>
              </w:rPr>
              <w:t>；</w:t>
            </w:r>
          </w:p>
          <w:p>
            <w:pPr>
              <w:pStyle w:val="40"/>
              <w:bidi w:val="0"/>
              <w:rPr>
                <w:rFonts w:hint="eastAsia" w:ascii="宋体" w:hAnsi="宋体" w:eastAsia="宋体"/>
              </w:rPr>
            </w:pPr>
            <w:r>
              <w:rPr>
                <w:rFonts w:hint="eastAsia" w:ascii="宋体" w:hAnsi="宋体" w:eastAsia="宋体"/>
              </w:rPr>
              <w:t>款式：翻领，拉链款，袖口可自由调节，上装左胸口处为</w:t>
            </w:r>
            <w:r>
              <w:rPr>
                <w:rFonts w:hint="eastAsia" w:ascii="宋体" w:hAnsi="宋体" w:eastAsia="宋体"/>
                <w:lang w:eastAsia="zh-CN"/>
              </w:rPr>
              <w:t>固定</w:t>
            </w:r>
            <w:r>
              <w:rPr>
                <w:rFonts w:hint="eastAsia" w:ascii="宋体" w:hAnsi="宋体" w:eastAsia="宋体"/>
              </w:rPr>
              <w:t>Logo，下摆两侧松紧调节。</w:t>
            </w:r>
          </w:p>
          <w:p>
            <w:pPr>
              <w:pStyle w:val="40"/>
              <w:bidi w:val="0"/>
              <w:rPr>
                <w:rFonts w:hint="eastAsia" w:ascii="宋体" w:hAnsi="宋体" w:eastAsia="宋体"/>
              </w:rPr>
            </w:pPr>
            <w:r>
              <w:rPr>
                <w:rFonts w:hint="eastAsia" w:ascii="宋体" w:hAnsi="宋体" w:eastAsia="宋体"/>
              </w:rPr>
              <w:t>颜色：上衣</w:t>
            </w:r>
            <w:r>
              <w:rPr>
                <w:rFonts w:hint="eastAsia" w:ascii="宋体" w:hAnsi="宋体" w:eastAsia="宋体"/>
                <w:lang w:eastAsia="zh-CN"/>
              </w:rPr>
              <w:t>浅</w:t>
            </w:r>
            <w:r>
              <w:rPr>
                <w:rFonts w:hint="eastAsia" w:ascii="宋体" w:hAnsi="宋体" w:eastAsia="宋体"/>
              </w:rPr>
              <w:t>绿色主体色，</w:t>
            </w:r>
            <w:r>
              <w:rPr>
                <w:rFonts w:hint="eastAsia" w:ascii="宋体" w:hAnsi="宋体" w:eastAsia="宋体"/>
                <w:lang w:eastAsia="zh-CN"/>
              </w:rPr>
              <w:t>藏蓝</w:t>
            </w:r>
            <w:r>
              <w:rPr>
                <w:rFonts w:hint="eastAsia" w:ascii="宋体" w:hAnsi="宋体" w:eastAsia="宋体"/>
              </w:rPr>
              <w:t>色拼色；下装：</w:t>
            </w:r>
            <w:r>
              <w:rPr>
                <w:rFonts w:hint="eastAsia" w:ascii="宋体" w:hAnsi="宋体" w:eastAsia="宋体"/>
                <w:lang w:eastAsia="zh-CN"/>
              </w:rPr>
              <w:t>藏蓝</w:t>
            </w:r>
            <w:r>
              <w:rPr>
                <w:rFonts w:hint="eastAsia" w:ascii="宋体" w:hAnsi="宋体" w:eastAsia="宋体"/>
              </w:rPr>
              <w:t>色；</w:t>
            </w:r>
          </w:p>
          <w:p>
            <w:pPr>
              <w:pStyle w:val="40"/>
              <w:bidi w:val="0"/>
              <w:rPr>
                <w:rFonts w:hint="eastAsia" w:ascii="宋体" w:hAnsi="宋体" w:eastAsia="宋体"/>
              </w:rPr>
            </w:pPr>
            <w:r>
              <w:rPr>
                <w:rFonts w:hint="eastAsia" w:ascii="宋体" w:hAnsi="宋体" w:eastAsia="宋体"/>
              </w:rPr>
              <w:t>做工：领口左右对称，明线顺直，不崩线，钮扣缝线牢实，拉链灵活，结合牢靠不掉齿。</w:t>
            </w:r>
          </w:p>
          <w:p>
            <w:pPr>
              <w:pStyle w:val="40"/>
              <w:bidi w:val="0"/>
              <w:rPr>
                <w:rFonts w:hint="eastAsia" w:ascii="宋体" w:hAnsi="宋体" w:eastAsia="宋体"/>
              </w:rPr>
            </w:pPr>
            <w:r>
              <w:rPr>
                <w:rFonts w:hint="eastAsia" w:ascii="宋体" w:hAnsi="宋体" w:eastAsia="宋体"/>
              </w:rPr>
              <w:t>★符合《国</w:t>
            </w:r>
            <w:r>
              <w:rPr>
                <w:rFonts w:hint="eastAsia" w:ascii="宋体" w:hAnsi="宋体" w:eastAsia="宋体"/>
                <w:lang w:val="en-US" w:eastAsia="zh-CN"/>
              </w:rPr>
              <w:t>家</w:t>
            </w:r>
            <w:r>
              <w:rPr>
                <w:rFonts w:hint="eastAsia" w:ascii="宋体" w:hAnsi="宋体" w:eastAsia="宋体"/>
              </w:rPr>
              <w:t>纺织品基本安全技术规</w:t>
            </w:r>
            <w:r>
              <w:rPr>
                <w:rFonts w:hint="eastAsia" w:ascii="宋体" w:hAnsi="宋体" w:eastAsia="宋体"/>
                <w:lang w:val="en-US" w:eastAsia="zh-CN"/>
              </w:rPr>
              <w:t>范</w:t>
            </w:r>
            <w:r>
              <w:rPr>
                <w:rFonts w:hint="eastAsia" w:ascii="宋体" w:hAnsi="宋体" w:eastAsia="宋体"/>
              </w:rPr>
              <w:t>》GB18401-2010标准。</w:t>
            </w:r>
          </w:p>
          <w:p>
            <w:pPr>
              <w:pStyle w:val="40"/>
              <w:bidi w:val="0"/>
              <w:rPr>
                <w:rFonts w:hint="eastAsia" w:ascii="宋体" w:hAnsi="宋体" w:eastAsia="宋体"/>
                <w:lang w:eastAsia="zh-CN"/>
              </w:rPr>
            </w:pPr>
            <w:r>
              <w:rPr>
                <w:rFonts w:hint="eastAsia" w:ascii="宋体" w:hAnsi="宋体" w:eastAsia="宋体"/>
              </w:rPr>
              <w:t>▲</w:t>
            </w:r>
            <w:r>
              <w:rPr>
                <w:rFonts w:hint="eastAsia" w:ascii="宋体" w:hAnsi="宋体" w:eastAsia="宋体"/>
                <w:lang w:val="en-US" w:eastAsia="zh-CN"/>
              </w:rPr>
              <w:t>投标时投标人提供国家认可的第三方检测机构出具的上衣、下装主体面料质量检验合格报告复印件(该报告出具年限为2022年1月1日以后)</w:t>
            </w:r>
            <w:r>
              <w:rPr>
                <w:rFonts w:hint="eastAsia" w:ascii="宋体" w:hAnsi="宋体" w:eastAsia="宋体"/>
                <w:lang w:eastAsia="zh-CN"/>
              </w:rPr>
              <w:t>。</w:t>
            </w:r>
          </w:p>
        </w:tc>
        <w:tc>
          <w:tcPr>
            <w:tcW w:w="158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280795" cy="1983105"/>
                  <wp:effectExtent l="0" t="0" r="5080" b="762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29"/>
                          <a:stretch>
                            <a:fillRect/>
                          </a:stretch>
                        </pic:blipFill>
                        <pic:spPr>
                          <a:xfrm>
                            <a:off x="0" y="0"/>
                            <a:ext cx="1280795" cy="1983105"/>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1662430" cy="2449830"/>
                  <wp:effectExtent l="0" t="0" r="4445" b="762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0"/>
                          <a:stretch>
                            <a:fillRect/>
                          </a:stretch>
                        </pic:blipFill>
                        <pic:spPr>
                          <a:xfrm>
                            <a:off x="0" y="0"/>
                            <a:ext cx="1662430" cy="24498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7"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p>
        </w:tc>
        <w:tc>
          <w:tcPr>
            <w:tcW w:w="474"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p>
        </w:tc>
        <w:tc>
          <w:tcPr>
            <w:tcW w:w="37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b w:val="0"/>
                <w:bCs/>
                <w:color w:val="auto"/>
                <w:sz w:val="21"/>
                <w:szCs w:val="21"/>
                <w:highlight w:val="none"/>
              </w:rPr>
            </w:pPr>
            <w:bookmarkStart w:id="1142" w:name="_Toc5660"/>
            <w:bookmarkStart w:id="1143" w:name="_Toc18606"/>
            <w:bookmarkStart w:id="1144" w:name="_Toc5329"/>
            <w:r>
              <w:rPr>
                <w:rFonts w:hint="eastAsia" w:ascii="宋体" w:hAnsi="宋体" w:eastAsia="宋体" w:cs="宋体"/>
                <w:b w:val="0"/>
                <w:bCs/>
                <w:color w:val="auto"/>
                <w:sz w:val="21"/>
                <w:szCs w:val="21"/>
                <w:highlight w:val="none"/>
              </w:rPr>
              <w:t>短袖茄克</w:t>
            </w:r>
            <w:bookmarkEnd w:id="1142"/>
            <w:bookmarkEnd w:id="1143"/>
            <w:bookmarkEnd w:id="1144"/>
          </w:p>
        </w:tc>
        <w:tc>
          <w:tcPr>
            <w:tcW w:w="2322" w:type="pct"/>
            <w:noWrap w:val="0"/>
            <w:vAlign w:val="center"/>
          </w:tcPr>
          <w:p>
            <w:pPr>
              <w:pStyle w:val="40"/>
              <w:bidi w:val="0"/>
              <w:rPr>
                <w:rFonts w:hint="eastAsia" w:ascii="宋体" w:hAnsi="宋体" w:eastAsia="宋体"/>
                <w:lang w:eastAsia="zh-CN"/>
              </w:rPr>
            </w:pPr>
            <w:r>
              <w:rPr>
                <w:rFonts w:hint="eastAsia" w:ascii="宋体" w:hAnsi="宋体" w:eastAsia="宋体"/>
              </w:rPr>
              <w:t>面料：涤棉面料，65%</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rPr>
              <w:t>聚酯纤维35%</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rPr>
              <w:t>棉，纱支：3</w:t>
            </w:r>
            <w:r>
              <w:rPr>
                <w:rFonts w:hint="eastAsia" w:ascii="宋体" w:hAnsi="宋体" w:eastAsia="宋体"/>
                <w:lang w:val="en-US" w:eastAsia="zh-CN"/>
              </w:rPr>
              <w:t>3</w:t>
            </w:r>
            <w:r>
              <w:rPr>
                <w:rFonts w:hint="eastAsia" w:ascii="宋体" w:hAnsi="宋体" w:eastAsia="宋体"/>
              </w:rPr>
              <w:t>s</w:t>
            </w:r>
            <w:r>
              <w:rPr>
                <w:rFonts w:hint="eastAsia" w:ascii="宋体" w:hAnsi="宋体" w:eastAsia="宋体"/>
                <w:lang w:eastAsia="zh-CN"/>
              </w:rPr>
              <w:t>(</w:t>
            </w:r>
            <w:r>
              <w:rPr>
                <w:rFonts w:hint="eastAsia" w:ascii="宋体" w:hAnsi="宋体" w:eastAsia="宋体"/>
              </w:rPr>
              <w:t>±2</w:t>
            </w:r>
            <w:r>
              <w:rPr>
                <w:rFonts w:hint="eastAsia" w:ascii="宋体" w:hAnsi="宋体" w:eastAsia="宋体"/>
                <w:lang w:eastAsia="zh-CN"/>
              </w:rPr>
              <w:t>)×</w:t>
            </w:r>
            <w:r>
              <w:rPr>
                <w:rFonts w:hint="eastAsia" w:ascii="宋体" w:hAnsi="宋体" w:eastAsia="宋体"/>
              </w:rPr>
              <w:t>3</w:t>
            </w:r>
            <w:r>
              <w:rPr>
                <w:rFonts w:hint="eastAsia" w:ascii="宋体" w:hAnsi="宋体" w:eastAsia="宋体"/>
                <w:lang w:val="en-US" w:eastAsia="zh-CN"/>
              </w:rPr>
              <w:t>3</w:t>
            </w:r>
            <w:r>
              <w:rPr>
                <w:rFonts w:hint="eastAsia" w:ascii="宋体" w:hAnsi="宋体" w:eastAsia="宋体"/>
              </w:rPr>
              <w:t>s</w:t>
            </w:r>
            <w:r>
              <w:rPr>
                <w:rFonts w:hint="eastAsia" w:ascii="宋体" w:hAnsi="宋体" w:eastAsia="宋体"/>
                <w:lang w:eastAsia="zh-CN"/>
              </w:rPr>
              <w:t>(</w:t>
            </w:r>
            <w:r>
              <w:rPr>
                <w:rFonts w:hint="eastAsia" w:ascii="宋体" w:hAnsi="宋体" w:eastAsia="宋体"/>
              </w:rPr>
              <w:t>±2</w:t>
            </w:r>
            <w:r>
              <w:rPr>
                <w:rFonts w:hint="eastAsia" w:ascii="宋体" w:hAnsi="宋体" w:eastAsia="宋体"/>
                <w:lang w:eastAsia="zh-CN"/>
              </w:rPr>
              <w:t>)密度：</w:t>
            </w:r>
            <w:r>
              <w:rPr>
                <w:rFonts w:hint="eastAsia" w:ascii="宋体" w:hAnsi="宋体" w:eastAsia="宋体"/>
                <w:lang w:val="en-US" w:eastAsia="zh-CN"/>
              </w:rPr>
              <w:t>535</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lang w:val="en-US" w:eastAsia="zh-CN"/>
              </w:rPr>
              <w:t>*255</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lang w:val="en-US" w:eastAsia="zh-CN"/>
              </w:rPr>
              <w:t>根/10cm</w:t>
            </w:r>
            <w:r>
              <w:rPr>
                <w:rFonts w:hint="eastAsia" w:ascii="宋体" w:hAnsi="宋体" w:eastAsia="宋体"/>
              </w:rPr>
              <w:t>，克重：≥</w:t>
            </w:r>
            <w:r>
              <w:rPr>
                <w:rFonts w:hint="eastAsia" w:ascii="宋体" w:hAnsi="宋体" w:eastAsia="宋体"/>
                <w:lang w:val="en-US" w:eastAsia="zh-CN"/>
              </w:rPr>
              <w:t>145</w:t>
            </w:r>
            <w:r>
              <w:rPr>
                <w:rFonts w:hint="eastAsia" w:ascii="宋体" w:hAnsi="宋体" w:eastAsia="宋体"/>
              </w:rPr>
              <w:t>g/㎡，</w:t>
            </w:r>
            <w:r>
              <w:rPr>
                <w:rFonts w:hint="eastAsia" w:ascii="宋体" w:hAnsi="宋体" w:eastAsia="宋体"/>
                <w:lang w:eastAsia="zh-CN"/>
              </w:rPr>
              <w:t>无异味；</w:t>
            </w:r>
          </w:p>
          <w:p>
            <w:pPr>
              <w:pStyle w:val="40"/>
              <w:bidi w:val="0"/>
              <w:rPr>
                <w:rFonts w:hint="eastAsia" w:ascii="宋体" w:hAnsi="宋体" w:eastAsia="宋体"/>
              </w:rPr>
            </w:pPr>
            <w:r>
              <w:rPr>
                <w:rFonts w:hint="eastAsia" w:ascii="宋体" w:hAnsi="宋体" w:eastAsia="宋体"/>
              </w:rPr>
              <w:t>款式：短袖茄克上装左胸口处为</w:t>
            </w:r>
            <w:r>
              <w:rPr>
                <w:rFonts w:hint="eastAsia" w:ascii="宋体" w:hAnsi="宋体" w:eastAsia="宋体"/>
                <w:lang w:eastAsia="zh-CN"/>
              </w:rPr>
              <w:t>固定</w:t>
            </w:r>
            <w:r>
              <w:rPr>
                <w:rFonts w:hint="eastAsia" w:ascii="宋体" w:hAnsi="宋体" w:eastAsia="宋体"/>
              </w:rPr>
              <w:t>LOGO。领口左右对称，拉链平服，纽扣无错位，明线顺直，下摆两侧松紧调节；</w:t>
            </w:r>
          </w:p>
          <w:p>
            <w:pPr>
              <w:pStyle w:val="40"/>
              <w:bidi w:val="0"/>
              <w:rPr>
                <w:rFonts w:hint="eastAsia" w:ascii="宋体" w:hAnsi="宋体" w:eastAsia="宋体"/>
              </w:rPr>
            </w:pPr>
            <w:r>
              <w:rPr>
                <w:rFonts w:hint="eastAsia" w:ascii="宋体" w:hAnsi="宋体" w:eastAsia="宋体"/>
              </w:rPr>
              <w:t>颜色：短袖茄克上装主体色</w:t>
            </w:r>
            <w:r>
              <w:rPr>
                <w:rFonts w:hint="eastAsia" w:ascii="宋体" w:hAnsi="宋体" w:eastAsia="宋体"/>
                <w:lang w:eastAsia="zh-CN"/>
              </w:rPr>
              <w:t>浅</w:t>
            </w:r>
            <w:r>
              <w:rPr>
                <w:rFonts w:hint="eastAsia" w:ascii="宋体" w:hAnsi="宋体" w:eastAsia="宋体"/>
              </w:rPr>
              <w:t>绿色</w:t>
            </w:r>
            <w:r>
              <w:rPr>
                <w:rFonts w:hint="eastAsia" w:ascii="宋体" w:hAnsi="宋体" w:eastAsia="宋体"/>
                <w:lang w:eastAsia="zh-CN"/>
              </w:rPr>
              <w:t>、</w:t>
            </w:r>
            <w:r>
              <w:rPr>
                <w:rFonts w:hint="eastAsia" w:ascii="宋体" w:hAnsi="宋体" w:eastAsia="宋体"/>
              </w:rPr>
              <w:t>拼色</w:t>
            </w:r>
            <w:r>
              <w:rPr>
                <w:rFonts w:hint="eastAsia" w:ascii="宋体" w:hAnsi="宋体" w:eastAsia="宋体"/>
                <w:lang w:eastAsia="zh-CN"/>
              </w:rPr>
              <w:t>藏蓝</w:t>
            </w:r>
            <w:r>
              <w:rPr>
                <w:rFonts w:hint="eastAsia" w:ascii="宋体" w:hAnsi="宋体" w:eastAsia="宋体"/>
              </w:rPr>
              <w:t>色；</w:t>
            </w:r>
          </w:p>
          <w:p>
            <w:pPr>
              <w:pStyle w:val="40"/>
              <w:bidi w:val="0"/>
              <w:rPr>
                <w:rFonts w:hint="eastAsia" w:ascii="宋体" w:hAnsi="宋体" w:eastAsia="宋体"/>
              </w:rPr>
            </w:pPr>
            <w:r>
              <w:rPr>
                <w:rFonts w:hint="eastAsia" w:ascii="宋体" w:hAnsi="宋体" w:eastAsia="宋体"/>
              </w:rPr>
              <w:t>做工：领口左右对称，明线顺直，不崩线，钮扣缝线牢实，拉链灵活，结合牢靠不掉齿。</w:t>
            </w:r>
          </w:p>
          <w:p>
            <w:pPr>
              <w:pStyle w:val="40"/>
              <w:bidi w:val="0"/>
              <w:rPr>
                <w:rFonts w:hint="eastAsia" w:ascii="宋体" w:hAnsi="宋体" w:eastAsia="宋体"/>
              </w:rPr>
            </w:pPr>
            <w:r>
              <w:rPr>
                <w:rFonts w:hint="eastAsia" w:ascii="宋体" w:hAnsi="宋体" w:eastAsia="宋体"/>
              </w:rPr>
              <w:t>★符合《国</w:t>
            </w:r>
            <w:r>
              <w:rPr>
                <w:rFonts w:hint="eastAsia" w:ascii="宋体" w:hAnsi="宋体" w:eastAsia="宋体"/>
                <w:lang w:val="en-US" w:eastAsia="zh-CN"/>
              </w:rPr>
              <w:t>家</w:t>
            </w:r>
            <w:r>
              <w:rPr>
                <w:rFonts w:hint="eastAsia" w:ascii="宋体" w:hAnsi="宋体" w:eastAsia="宋体"/>
              </w:rPr>
              <w:t>纺织品基本安全技术规</w:t>
            </w:r>
            <w:r>
              <w:rPr>
                <w:rFonts w:hint="eastAsia" w:ascii="宋体" w:hAnsi="宋体" w:eastAsia="宋体"/>
                <w:lang w:val="en-US" w:eastAsia="zh-CN"/>
              </w:rPr>
              <w:t>范</w:t>
            </w:r>
            <w:r>
              <w:rPr>
                <w:rFonts w:hint="eastAsia" w:ascii="宋体" w:hAnsi="宋体" w:eastAsia="宋体"/>
              </w:rPr>
              <w:t>》GB18401-2010标准。</w:t>
            </w:r>
          </w:p>
          <w:p>
            <w:pPr>
              <w:pStyle w:val="40"/>
              <w:bidi w:val="0"/>
              <w:rPr>
                <w:rFonts w:hint="eastAsia" w:ascii="宋体" w:hAnsi="宋体" w:eastAsia="宋体"/>
                <w:lang w:eastAsia="zh-CN"/>
              </w:rPr>
            </w:pPr>
            <w:r>
              <w:rPr>
                <w:rFonts w:hint="eastAsia" w:ascii="宋体" w:hAnsi="宋体" w:eastAsia="宋体"/>
              </w:rPr>
              <w:t>▲投标时投标人提供国家认可的第三方检测机构出具的主体</w:t>
            </w:r>
            <w:r>
              <w:rPr>
                <w:rFonts w:hint="eastAsia" w:ascii="宋体" w:hAnsi="宋体" w:eastAsia="宋体"/>
                <w:lang w:val="en-US" w:eastAsia="zh-CN"/>
              </w:rPr>
              <w:t>色</w:t>
            </w:r>
            <w:r>
              <w:rPr>
                <w:rFonts w:hint="eastAsia" w:ascii="宋体" w:hAnsi="宋体" w:eastAsia="宋体"/>
              </w:rPr>
              <w:t>面料质量检验合格报告复印件</w:t>
            </w:r>
            <w:r>
              <w:rPr>
                <w:rFonts w:hint="eastAsia" w:ascii="宋体" w:hAnsi="宋体" w:eastAsia="宋体"/>
                <w:lang w:eastAsia="zh-CN"/>
              </w:rPr>
              <w:t>(</w:t>
            </w:r>
            <w:r>
              <w:rPr>
                <w:rFonts w:hint="eastAsia" w:ascii="宋体" w:hAnsi="宋体" w:eastAsia="宋体"/>
              </w:rPr>
              <w:t>该报告出具年限为2022年1月1日以后</w:t>
            </w:r>
            <w:r>
              <w:rPr>
                <w:rFonts w:hint="eastAsia" w:ascii="宋体" w:hAnsi="宋体" w:eastAsia="宋体"/>
                <w:lang w:eastAsia="zh-CN"/>
              </w:rPr>
              <w:t>)。</w:t>
            </w:r>
          </w:p>
        </w:tc>
        <w:tc>
          <w:tcPr>
            <w:tcW w:w="158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279525" cy="1307465"/>
                  <wp:effectExtent l="0" t="0" r="6350" b="698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0"/>
                          <a:srcRect b="37738"/>
                          <a:stretch>
                            <a:fillRect/>
                          </a:stretch>
                        </pic:blipFill>
                        <pic:spPr>
                          <a:xfrm>
                            <a:off x="0" y="0"/>
                            <a:ext cx="1279525" cy="1307465"/>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1662430" cy="2449830"/>
                  <wp:effectExtent l="0" t="0" r="4445" b="762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0"/>
                          <a:stretch>
                            <a:fillRect/>
                          </a:stretch>
                        </pic:blipFill>
                        <pic:spPr>
                          <a:xfrm>
                            <a:off x="0" y="0"/>
                            <a:ext cx="1662430" cy="24498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7"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p>
        </w:tc>
        <w:tc>
          <w:tcPr>
            <w:tcW w:w="474"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p>
        </w:tc>
        <w:tc>
          <w:tcPr>
            <w:tcW w:w="37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bookmarkStart w:id="1145" w:name="_Toc16432"/>
            <w:bookmarkStart w:id="1146" w:name="_Toc2769"/>
            <w:bookmarkStart w:id="1147" w:name="_Toc30774"/>
            <w:r>
              <w:rPr>
                <w:rFonts w:hint="eastAsia" w:ascii="宋体" w:hAnsi="宋体" w:eastAsia="宋体" w:cs="宋体"/>
                <w:b w:val="0"/>
                <w:bCs/>
                <w:color w:val="auto"/>
                <w:sz w:val="21"/>
                <w:szCs w:val="21"/>
                <w:highlight w:val="none"/>
              </w:rPr>
              <w:t>短袖T恤</w:t>
            </w:r>
            <w:bookmarkEnd w:id="1145"/>
            <w:bookmarkEnd w:id="1146"/>
            <w:bookmarkEnd w:id="1147"/>
          </w:p>
        </w:tc>
        <w:tc>
          <w:tcPr>
            <w:tcW w:w="2322" w:type="pct"/>
            <w:noWrap w:val="0"/>
            <w:vAlign w:val="center"/>
          </w:tcPr>
          <w:p>
            <w:pPr>
              <w:pStyle w:val="40"/>
              <w:bidi w:val="0"/>
              <w:rPr>
                <w:rFonts w:hint="eastAsia" w:ascii="宋体" w:hAnsi="宋体" w:eastAsia="宋体"/>
              </w:rPr>
            </w:pPr>
            <w:r>
              <w:rPr>
                <w:rFonts w:hint="eastAsia" w:ascii="宋体" w:hAnsi="宋体" w:eastAsia="宋体"/>
              </w:rPr>
              <w:t>面料：</w:t>
            </w:r>
            <w:r>
              <w:rPr>
                <w:rFonts w:hint="eastAsia" w:ascii="宋体" w:hAnsi="宋体" w:eastAsia="宋体"/>
                <w:lang w:val="en-US" w:eastAsia="zh-CN"/>
              </w:rPr>
              <w:t>100%棉</w:t>
            </w:r>
            <w:r>
              <w:rPr>
                <w:rFonts w:hint="eastAsia" w:ascii="宋体" w:hAnsi="宋体" w:eastAsia="宋体"/>
                <w:lang w:eastAsia="zh-CN"/>
              </w:rPr>
              <w:t>，</w:t>
            </w:r>
            <w:r>
              <w:rPr>
                <w:rFonts w:hint="eastAsia" w:ascii="宋体" w:hAnsi="宋体" w:eastAsia="宋体"/>
              </w:rPr>
              <w:t>纱支：26s</w:t>
            </w:r>
            <w:r>
              <w:rPr>
                <w:rFonts w:hint="eastAsia" w:ascii="宋体" w:hAnsi="宋体" w:eastAsia="宋体"/>
                <w:lang w:eastAsia="zh-CN"/>
              </w:rPr>
              <w:t>(</w:t>
            </w:r>
            <w:r>
              <w:rPr>
                <w:rFonts w:hint="eastAsia" w:ascii="宋体" w:hAnsi="宋体" w:eastAsia="宋体"/>
              </w:rPr>
              <w:t>±2</w:t>
            </w:r>
            <w:r>
              <w:rPr>
                <w:rFonts w:hint="eastAsia" w:ascii="宋体" w:hAnsi="宋体" w:eastAsia="宋体"/>
                <w:lang w:eastAsia="zh-CN"/>
              </w:rPr>
              <w:t>)</w:t>
            </w:r>
            <w:r>
              <w:rPr>
                <w:rFonts w:hint="eastAsia" w:ascii="宋体" w:hAnsi="宋体" w:eastAsia="宋体"/>
              </w:rPr>
              <w:t>，克重：≥2</w:t>
            </w:r>
            <w:r>
              <w:rPr>
                <w:rFonts w:hint="eastAsia" w:ascii="宋体" w:hAnsi="宋体" w:eastAsia="宋体"/>
                <w:lang w:val="en-US" w:eastAsia="zh-CN"/>
              </w:rPr>
              <w:t>1</w:t>
            </w:r>
            <w:r>
              <w:rPr>
                <w:rFonts w:hint="eastAsia" w:ascii="宋体" w:hAnsi="宋体" w:eastAsia="宋体"/>
              </w:rPr>
              <w:t>0g/㎡</w:t>
            </w:r>
            <w:r>
              <w:rPr>
                <w:rFonts w:hint="eastAsia" w:ascii="宋体" w:hAnsi="宋体" w:eastAsia="宋体"/>
                <w:lang w:eastAsia="zh-CN"/>
              </w:rPr>
              <w:t>，无异味</w:t>
            </w:r>
            <w:r>
              <w:rPr>
                <w:rFonts w:hint="eastAsia" w:ascii="宋体" w:hAnsi="宋体" w:eastAsia="宋体"/>
              </w:rPr>
              <w:t>。</w:t>
            </w:r>
          </w:p>
          <w:p>
            <w:pPr>
              <w:pStyle w:val="40"/>
              <w:bidi w:val="0"/>
              <w:rPr>
                <w:rFonts w:hint="eastAsia" w:ascii="宋体" w:hAnsi="宋体" w:eastAsia="宋体"/>
              </w:rPr>
            </w:pPr>
            <w:r>
              <w:rPr>
                <w:rFonts w:hint="eastAsia" w:ascii="宋体" w:hAnsi="宋体" w:eastAsia="宋体"/>
              </w:rPr>
              <w:t>款式：小翻领，短袖。</w:t>
            </w:r>
          </w:p>
          <w:p>
            <w:pPr>
              <w:pStyle w:val="40"/>
              <w:bidi w:val="0"/>
              <w:rPr>
                <w:rFonts w:hint="eastAsia" w:ascii="宋体" w:hAnsi="宋体" w:eastAsia="宋体"/>
              </w:rPr>
            </w:pPr>
            <w:r>
              <w:rPr>
                <w:rFonts w:hint="eastAsia" w:ascii="宋体" w:hAnsi="宋体" w:eastAsia="宋体"/>
              </w:rPr>
              <w:t>颜色：白色；</w:t>
            </w:r>
          </w:p>
          <w:p>
            <w:pPr>
              <w:pStyle w:val="40"/>
              <w:bidi w:val="0"/>
              <w:rPr>
                <w:rFonts w:hint="eastAsia" w:ascii="宋体" w:hAnsi="宋体" w:eastAsia="宋体"/>
              </w:rPr>
            </w:pPr>
            <w:r>
              <w:rPr>
                <w:rFonts w:hint="eastAsia" w:ascii="宋体" w:hAnsi="宋体" w:eastAsia="宋体"/>
              </w:rPr>
              <w:t>做工：明线顺直，不崩线。</w:t>
            </w:r>
          </w:p>
          <w:p>
            <w:pPr>
              <w:pStyle w:val="40"/>
              <w:bidi w:val="0"/>
              <w:rPr>
                <w:rFonts w:hint="eastAsia" w:ascii="宋体" w:hAnsi="宋体" w:eastAsia="宋体"/>
              </w:rPr>
            </w:pPr>
            <w:r>
              <w:rPr>
                <w:rFonts w:hint="eastAsia" w:ascii="宋体" w:hAnsi="宋体" w:eastAsia="宋体"/>
              </w:rPr>
              <w:t>★符合《国</w:t>
            </w:r>
            <w:r>
              <w:rPr>
                <w:rFonts w:hint="eastAsia" w:ascii="宋体" w:hAnsi="宋体" w:eastAsia="宋体"/>
                <w:lang w:val="en-US" w:eastAsia="zh-CN"/>
              </w:rPr>
              <w:t>家</w:t>
            </w:r>
            <w:r>
              <w:rPr>
                <w:rFonts w:hint="eastAsia" w:ascii="宋体" w:hAnsi="宋体" w:eastAsia="宋体"/>
              </w:rPr>
              <w:t>纺织品基本安全技术规</w:t>
            </w:r>
            <w:r>
              <w:rPr>
                <w:rFonts w:hint="eastAsia" w:ascii="宋体" w:hAnsi="宋体" w:eastAsia="宋体"/>
                <w:lang w:val="en-US" w:eastAsia="zh-CN"/>
              </w:rPr>
              <w:t>范</w:t>
            </w:r>
            <w:r>
              <w:rPr>
                <w:rFonts w:hint="eastAsia" w:ascii="宋体" w:hAnsi="宋体" w:eastAsia="宋体"/>
              </w:rPr>
              <w:t>》GB18401-2010标准。</w:t>
            </w:r>
          </w:p>
          <w:p>
            <w:pPr>
              <w:pStyle w:val="40"/>
              <w:bidi w:val="0"/>
              <w:rPr>
                <w:rFonts w:hint="eastAsia" w:ascii="宋体" w:hAnsi="宋体" w:eastAsia="宋体"/>
              </w:rPr>
            </w:pPr>
            <w:r>
              <w:rPr>
                <w:rFonts w:hint="eastAsia" w:ascii="宋体" w:hAnsi="宋体" w:eastAsia="宋体"/>
              </w:rPr>
              <w:t>▲投标时投标人提供国家认可的第三方检测机构出具的主体面料质量检验合格报告复印件</w:t>
            </w:r>
            <w:r>
              <w:rPr>
                <w:rFonts w:hint="eastAsia" w:ascii="宋体" w:hAnsi="宋体" w:eastAsia="宋体"/>
                <w:lang w:eastAsia="zh-CN"/>
              </w:rPr>
              <w:t>(</w:t>
            </w:r>
            <w:r>
              <w:rPr>
                <w:rFonts w:hint="eastAsia" w:ascii="宋体" w:hAnsi="宋体" w:eastAsia="宋体"/>
              </w:rPr>
              <w:t>该报告出具年限为2022年1月1日以后</w:t>
            </w:r>
            <w:r>
              <w:rPr>
                <w:rFonts w:hint="eastAsia" w:ascii="宋体" w:hAnsi="宋体" w:eastAsia="宋体"/>
                <w:lang w:eastAsia="zh-CN"/>
              </w:rPr>
              <w:t>)。</w:t>
            </w:r>
          </w:p>
        </w:tc>
        <w:tc>
          <w:tcPr>
            <w:tcW w:w="158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281430" cy="1346835"/>
                  <wp:effectExtent l="0" t="0" r="4445" b="571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31"/>
                          <a:stretch>
                            <a:fillRect/>
                          </a:stretch>
                        </pic:blipFill>
                        <pic:spPr>
                          <a:xfrm>
                            <a:off x="0" y="0"/>
                            <a:ext cx="1281430" cy="1346835"/>
                          </a:xfrm>
                          <a:prstGeom prst="rect">
                            <a:avLst/>
                          </a:prstGeom>
                          <a:noFill/>
                          <a:ln>
                            <a:noFill/>
                          </a:ln>
                        </pic:spPr>
                      </pic:pic>
                    </a:graphicData>
                  </a:graphic>
                </wp:inline>
              </w:drawing>
            </w:r>
          </w:p>
          <w:p>
            <w:pPr>
              <w:pStyle w:val="12"/>
              <w:keepNext w:val="0"/>
              <w:keepLines w:val="0"/>
              <w:pageBreakBefore w:val="0"/>
              <w:widowControl w:val="0"/>
              <w:kinsoku/>
              <w:overflowPunct/>
              <w:autoSpaceDE/>
              <w:autoSpaceDN/>
              <w:bidi w:val="0"/>
              <w:adjustRightInd w:val="0"/>
              <w:snapToGrid w:val="0"/>
              <w:spacing w:after="0"/>
              <w:ind w:left="0" w:leftChars="0" w:firstLine="0" w:firstLineChars="0"/>
              <w:textAlignment w:val="auto"/>
              <w:outlineLvl w:val="9"/>
              <w:rPr>
                <w:rFonts w:hint="eastAsia" w:ascii="宋体" w:hAnsi="宋体" w:eastAsia="宋体" w:cs="宋体"/>
                <w:sz w:val="21"/>
                <w:szCs w:val="21"/>
              </w:rPr>
            </w:pPr>
          </w:p>
          <w:p>
            <w:pPr>
              <w:keepNext w:val="0"/>
              <w:keepLines w:val="0"/>
              <w:pageBreakBefore w:val="0"/>
              <w:widowControl w:val="0"/>
              <w:kinsoku/>
              <w:overflowPunct/>
              <w:autoSpaceDE/>
              <w:autoSpaceDN/>
              <w:bidi w:val="0"/>
              <w:adjustRightInd w:val="0"/>
              <w:snapToGrid w:val="0"/>
              <w:ind w:left="0" w:leftChars="0" w:firstLine="0" w:firstLineChars="0"/>
              <w:textAlignment w:val="auto"/>
              <w:outlineLvl w:val="9"/>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7" w:type="pct"/>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lang w:eastAsia="zh-CN"/>
              </w:rPr>
            </w:pPr>
            <w:bookmarkStart w:id="1148" w:name="_Toc28967"/>
            <w:r>
              <w:rPr>
                <w:rFonts w:hint="eastAsia" w:ascii="宋体" w:hAnsi="宋体" w:eastAsia="宋体" w:cs="宋体"/>
                <w:color w:val="auto"/>
                <w:sz w:val="21"/>
                <w:szCs w:val="21"/>
                <w:highlight w:val="none"/>
                <w:lang w:val="en-US" w:eastAsia="zh-CN"/>
              </w:rPr>
              <w:t>4</w:t>
            </w:r>
            <w:bookmarkEnd w:id="1148"/>
          </w:p>
        </w:tc>
        <w:tc>
          <w:tcPr>
            <w:tcW w:w="474" w:type="pct"/>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bookmarkStart w:id="1149" w:name="_Toc9714"/>
            <w:bookmarkStart w:id="1150" w:name="_Toc25360"/>
            <w:bookmarkStart w:id="1151" w:name="_Toc5590"/>
            <w:r>
              <w:rPr>
                <w:rFonts w:hint="eastAsia" w:ascii="宋体" w:hAnsi="宋体" w:eastAsia="宋体" w:cs="宋体"/>
                <w:bCs/>
                <w:color w:val="auto"/>
                <w:sz w:val="21"/>
                <w:szCs w:val="21"/>
                <w:highlight w:val="none"/>
              </w:rPr>
              <w:t>B2西装套装</w:t>
            </w:r>
            <w:bookmarkEnd w:id="1149"/>
            <w:bookmarkEnd w:id="1150"/>
            <w:bookmarkEnd w:id="1151"/>
          </w:p>
        </w:tc>
        <w:tc>
          <w:tcPr>
            <w:tcW w:w="37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西服套装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上衣</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下装</w:t>
            </w:r>
            <w:r>
              <w:rPr>
                <w:rFonts w:hint="eastAsia" w:ascii="宋体" w:hAnsi="宋体" w:eastAsia="宋体" w:cs="宋体"/>
                <w:color w:val="auto"/>
                <w:sz w:val="21"/>
                <w:szCs w:val="21"/>
                <w:highlight w:val="none"/>
                <w:lang w:eastAsia="zh-CN"/>
              </w:rPr>
              <w:t>)</w:t>
            </w:r>
          </w:p>
        </w:tc>
        <w:tc>
          <w:tcPr>
            <w:tcW w:w="2322" w:type="pct"/>
            <w:noWrap w:val="0"/>
            <w:vAlign w:val="center"/>
          </w:tcPr>
          <w:p>
            <w:pPr>
              <w:pStyle w:val="40"/>
              <w:bidi w:val="0"/>
              <w:rPr>
                <w:rFonts w:hint="eastAsia" w:ascii="宋体" w:hAnsi="宋体" w:eastAsia="宋体"/>
              </w:rPr>
            </w:pPr>
            <w:r>
              <w:rPr>
                <w:rFonts w:hint="eastAsia" w:ascii="宋体" w:hAnsi="宋体" w:eastAsia="宋体"/>
              </w:rPr>
              <w:t>面料：贡丝锦，100%聚酯纤维，</w:t>
            </w:r>
            <w:r>
              <w:rPr>
                <w:rFonts w:hint="eastAsia" w:ascii="宋体" w:hAnsi="宋体" w:eastAsia="宋体"/>
                <w:lang w:eastAsia="zh-CN"/>
              </w:rPr>
              <w:t>色牢度（</w:t>
            </w:r>
            <w:r>
              <w:rPr>
                <w:rFonts w:hint="eastAsia" w:ascii="宋体" w:hAnsi="宋体" w:eastAsia="宋体"/>
              </w:rPr>
              <w:t>耐水，耐酸汗渍</w:t>
            </w:r>
            <w:r>
              <w:rPr>
                <w:rFonts w:hint="eastAsia" w:ascii="宋体" w:hAnsi="宋体" w:eastAsia="宋体"/>
                <w:lang w:eastAsia="zh-CN"/>
              </w:rPr>
              <w:t>、</w:t>
            </w:r>
            <w:r>
              <w:rPr>
                <w:rFonts w:hint="eastAsia" w:ascii="宋体" w:hAnsi="宋体" w:eastAsia="宋体"/>
              </w:rPr>
              <w:t>耐碱汗渍</w:t>
            </w:r>
            <w:r>
              <w:rPr>
                <w:rFonts w:hint="eastAsia" w:ascii="宋体" w:hAnsi="宋体" w:eastAsia="宋体"/>
                <w:lang w:eastAsia="zh-CN"/>
              </w:rPr>
              <w:t>、</w:t>
            </w:r>
            <w:r>
              <w:rPr>
                <w:rFonts w:hint="eastAsia" w:ascii="宋体" w:hAnsi="宋体" w:eastAsia="宋体"/>
              </w:rPr>
              <w:t>耐摩擦色牢度</w:t>
            </w:r>
            <w:r>
              <w:rPr>
                <w:rFonts w:hint="eastAsia" w:ascii="宋体" w:hAnsi="宋体" w:eastAsia="宋体"/>
                <w:lang w:eastAsia="zh-CN"/>
              </w:rPr>
              <w:t>）</w:t>
            </w:r>
            <w:r>
              <w:rPr>
                <w:rFonts w:hint="eastAsia" w:ascii="宋体" w:hAnsi="宋体" w:eastAsia="宋体"/>
              </w:rPr>
              <w:t>≥4级，克重：≥250g/㎡；</w:t>
            </w:r>
          </w:p>
          <w:p>
            <w:pPr>
              <w:pStyle w:val="40"/>
              <w:bidi w:val="0"/>
              <w:rPr>
                <w:rFonts w:hint="eastAsia" w:ascii="宋体" w:hAnsi="宋体" w:eastAsia="宋体"/>
              </w:rPr>
            </w:pPr>
            <w:r>
              <w:rPr>
                <w:rFonts w:hint="eastAsia" w:ascii="宋体" w:hAnsi="宋体" w:eastAsia="宋体"/>
              </w:rPr>
              <w:t>款式：(1)男式</w:t>
            </w:r>
            <w:r>
              <w:rPr>
                <w:rFonts w:hint="eastAsia" w:ascii="宋体" w:hAnsi="宋体" w:eastAsia="宋体"/>
                <w:lang w:eastAsia="zh-CN"/>
              </w:rPr>
              <w:t>：</w:t>
            </w:r>
            <w:r>
              <w:rPr>
                <w:rFonts w:hint="eastAsia" w:ascii="宋体" w:hAnsi="宋体" w:eastAsia="宋体"/>
              </w:rPr>
              <w:t>平驳领两粒男式上衣，斜袋；松紧腰下装</w:t>
            </w:r>
            <w:r>
              <w:rPr>
                <w:rFonts w:hint="eastAsia" w:ascii="宋体" w:hAnsi="宋体" w:eastAsia="宋体"/>
                <w:lang w:eastAsia="zh-CN"/>
              </w:rPr>
              <w:t>(</w:t>
            </w:r>
            <w:r>
              <w:rPr>
                <w:rFonts w:hint="eastAsia" w:ascii="宋体" w:hAnsi="宋体" w:eastAsia="宋体"/>
              </w:rPr>
              <w:t>西裤</w:t>
            </w:r>
            <w:r>
              <w:rPr>
                <w:rFonts w:hint="eastAsia" w:ascii="宋体" w:hAnsi="宋体" w:eastAsia="宋体"/>
                <w:lang w:eastAsia="zh-CN"/>
              </w:rPr>
              <w:t>)</w:t>
            </w:r>
            <w:r>
              <w:rPr>
                <w:rFonts w:hint="eastAsia" w:ascii="宋体" w:hAnsi="宋体" w:eastAsia="宋体"/>
              </w:rPr>
              <w:t>，(2)女式</w:t>
            </w:r>
            <w:r>
              <w:rPr>
                <w:rFonts w:hint="eastAsia" w:ascii="宋体" w:hAnsi="宋体" w:eastAsia="宋体"/>
                <w:lang w:eastAsia="zh-CN"/>
              </w:rPr>
              <w:t>：</w:t>
            </w:r>
            <w:r>
              <w:rPr>
                <w:rFonts w:hint="eastAsia" w:ascii="宋体" w:hAnsi="宋体" w:eastAsia="宋体"/>
              </w:rPr>
              <w:t>枪驳领两粒扣上衣，松紧腰西裤，齐膝包裙。说明：女下装包含西裤和包裙</w:t>
            </w:r>
          </w:p>
          <w:p>
            <w:pPr>
              <w:pStyle w:val="40"/>
              <w:bidi w:val="0"/>
              <w:rPr>
                <w:rFonts w:hint="eastAsia" w:ascii="宋体" w:hAnsi="宋体" w:eastAsia="宋体"/>
              </w:rPr>
            </w:pPr>
            <w:r>
              <w:rPr>
                <w:rFonts w:hint="eastAsia" w:ascii="宋体" w:hAnsi="宋体" w:eastAsia="宋体"/>
              </w:rPr>
              <w:t>颜色：上衣</w:t>
            </w:r>
            <w:r>
              <w:rPr>
                <w:rFonts w:hint="eastAsia" w:ascii="宋体" w:hAnsi="宋体" w:eastAsia="宋体"/>
                <w:lang w:eastAsia="zh-CN"/>
              </w:rPr>
              <w:t>、</w:t>
            </w:r>
            <w:r>
              <w:rPr>
                <w:rFonts w:hint="eastAsia" w:ascii="宋体" w:hAnsi="宋体" w:eastAsia="宋体"/>
              </w:rPr>
              <w:t>下装均为藏青色；</w:t>
            </w:r>
          </w:p>
          <w:p>
            <w:pPr>
              <w:pStyle w:val="40"/>
              <w:bidi w:val="0"/>
              <w:rPr>
                <w:rFonts w:hint="eastAsia" w:ascii="宋体" w:hAnsi="宋体" w:eastAsia="宋体"/>
              </w:rPr>
            </w:pPr>
            <w:r>
              <w:rPr>
                <w:rFonts w:hint="eastAsia" w:ascii="宋体" w:hAnsi="宋体" w:eastAsia="宋体"/>
              </w:rPr>
              <w:t>做工：西服领口左右对称，袋位高低一致，上袖圆顺。整体平服，纽扣牢固，明线顺直。</w:t>
            </w:r>
          </w:p>
          <w:p>
            <w:pPr>
              <w:pStyle w:val="40"/>
              <w:bidi w:val="0"/>
              <w:rPr>
                <w:rFonts w:hint="eastAsia" w:ascii="宋体" w:hAnsi="宋体" w:eastAsia="宋体"/>
              </w:rPr>
            </w:pPr>
            <w:r>
              <w:rPr>
                <w:rFonts w:hint="eastAsia" w:ascii="宋体" w:hAnsi="宋体" w:eastAsia="宋体"/>
              </w:rPr>
              <w:t>★符合《国</w:t>
            </w:r>
            <w:r>
              <w:rPr>
                <w:rFonts w:hint="eastAsia" w:ascii="宋体" w:hAnsi="宋体" w:eastAsia="宋体"/>
                <w:lang w:val="en-US" w:eastAsia="zh-CN"/>
              </w:rPr>
              <w:t>家</w:t>
            </w:r>
            <w:r>
              <w:rPr>
                <w:rFonts w:hint="eastAsia" w:ascii="宋体" w:hAnsi="宋体" w:eastAsia="宋体"/>
              </w:rPr>
              <w:t>纺织品基本安全技术规</w:t>
            </w:r>
            <w:r>
              <w:rPr>
                <w:rFonts w:hint="eastAsia" w:ascii="宋体" w:hAnsi="宋体" w:eastAsia="宋体"/>
                <w:lang w:val="en-US" w:eastAsia="zh-CN"/>
              </w:rPr>
              <w:t>范</w:t>
            </w:r>
            <w:r>
              <w:rPr>
                <w:rFonts w:hint="eastAsia" w:ascii="宋体" w:hAnsi="宋体" w:eastAsia="宋体"/>
              </w:rPr>
              <w:t>》GB18401-2010标准。</w:t>
            </w:r>
          </w:p>
          <w:p>
            <w:pPr>
              <w:pStyle w:val="40"/>
              <w:bidi w:val="0"/>
              <w:rPr>
                <w:rFonts w:hint="eastAsia" w:ascii="宋体" w:hAnsi="宋体" w:eastAsia="宋体"/>
              </w:rPr>
            </w:pPr>
            <w:r>
              <w:rPr>
                <w:rFonts w:hint="eastAsia" w:ascii="宋体" w:hAnsi="宋体" w:eastAsia="宋体"/>
              </w:rPr>
              <w:t>▲投标时投标人提供国家认可的第三方检测机构出具的主体面料质量检验合格报告复印件</w:t>
            </w:r>
            <w:r>
              <w:rPr>
                <w:rFonts w:hint="eastAsia" w:ascii="宋体" w:hAnsi="宋体" w:eastAsia="宋体"/>
                <w:lang w:eastAsia="zh-CN"/>
              </w:rPr>
              <w:t>(</w:t>
            </w:r>
            <w:r>
              <w:rPr>
                <w:rFonts w:hint="eastAsia" w:ascii="宋体" w:hAnsi="宋体" w:eastAsia="宋体"/>
              </w:rPr>
              <w:t>该报告出具年限为2022年1月1日以后</w:t>
            </w:r>
            <w:r>
              <w:rPr>
                <w:rFonts w:hint="eastAsia" w:ascii="宋体" w:hAnsi="宋体" w:eastAsia="宋体"/>
                <w:lang w:eastAsia="zh-CN"/>
              </w:rPr>
              <w:t>)</w:t>
            </w:r>
            <w:r>
              <w:rPr>
                <w:rFonts w:hint="eastAsia" w:ascii="宋体" w:hAnsi="宋体" w:eastAsia="宋体"/>
              </w:rPr>
              <w:t>。</w:t>
            </w:r>
          </w:p>
        </w:tc>
        <w:tc>
          <w:tcPr>
            <w:tcW w:w="158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537970" cy="2593340"/>
                  <wp:effectExtent l="0" t="0" r="508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a:stretch>
                            <a:fillRect/>
                          </a:stretch>
                        </pic:blipFill>
                        <pic:spPr>
                          <a:xfrm>
                            <a:off x="0" y="0"/>
                            <a:ext cx="1537970" cy="259334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7"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p>
        </w:tc>
        <w:tc>
          <w:tcPr>
            <w:tcW w:w="474"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p>
        </w:tc>
        <w:tc>
          <w:tcPr>
            <w:tcW w:w="37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rPr>
              <w:t>衬衫</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长袖衬衫</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短袖衬衫</w:t>
            </w:r>
            <w:r>
              <w:rPr>
                <w:rFonts w:hint="eastAsia" w:ascii="宋体" w:hAnsi="宋体" w:eastAsia="宋体" w:cs="宋体"/>
                <w:color w:val="auto"/>
                <w:sz w:val="21"/>
                <w:szCs w:val="21"/>
                <w:highlight w:val="none"/>
                <w:lang w:eastAsia="zh-CN"/>
              </w:rPr>
              <w:t>)</w:t>
            </w:r>
          </w:p>
        </w:tc>
        <w:tc>
          <w:tcPr>
            <w:tcW w:w="2322" w:type="pct"/>
            <w:noWrap w:val="0"/>
            <w:vAlign w:val="center"/>
          </w:tcPr>
          <w:p>
            <w:pPr>
              <w:pStyle w:val="40"/>
              <w:bidi w:val="0"/>
              <w:rPr>
                <w:rFonts w:hint="eastAsia" w:ascii="宋体" w:hAnsi="宋体" w:eastAsia="宋体"/>
              </w:rPr>
            </w:pPr>
            <w:r>
              <w:rPr>
                <w:rFonts w:hint="eastAsia" w:ascii="宋体" w:hAnsi="宋体" w:eastAsia="宋体"/>
              </w:rPr>
              <w:t>面料：6</w:t>
            </w:r>
            <w:r>
              <w:rPr>
                <w:rFonts w:hint="eastAsia" w:ascii="宋体" w:hAnsi="宋体" w:eastAsia="宋体"/>
                <w:lang w:val="en-US" w:eastAsia="zh-CN"/>
              </w:rPr>
              <w:t>5</w:t>
            </w:r>
            <w:r>
              <w:rPr>
                <w:rFonts w:hint="eastAsia" w:ascii="宋体" w:hAnsi="宋体" w:eastAsia="宋体"/>
              </w:rPr>
              <w:t>%</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rPr>
              <w:t>聚酯纤维，</w:t>
            </w:r>
            <w:r>
              <w:rPr>
                <w:rFonts w:hint="eastAsia" w:ascii="宋体" w:hAnsi="宋体" w:eastAsia="宋体"/>
                <w:lang w:val="en-US" w:eastAsia="zh-CN"/>
              </w:rPr>
              <w:t>35</w:t>
            </w:r>
            <w:r>
              <w:rPr>
                <w:rFonts w:hint="eastAsia" w:ascii="宋体" w:hAnsi="宋体" w:eastAsia="宋体"/>
              </w:rPr>
              <w:t>%棉</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rPr>
              <w:t>，纱支：</w:t>
            </w:r>
            <w:r>
              <w:rPr>
                <w:rFonts w:hint="eastAsia" w:ascii="宋体" w:hAnsi="宋体" w:eastAsia="宋体"/>
                <w:lang w:eastAsia="zh-CN"/>
              </w:rPr>
              <w:t>经向</w:t>
            </w:r>
            <w:r>
              <w:rPr>
                <w:rFonts w:hint="eastAsia" w:ascii="宋体" w:hAnsi="宋体" w:eastAsia="宋体"/>
              </w:rPr>
              <w:t>80s</w:t>
            </w:r>
            <w:r>
              <w:rPr>
                <w:rFonts w:hint="eastAsia" w:ascii="宋体" w:hAnsi="宋体" w:eastAsia="宋体"/>
                <w:lang w:eastAsia="zh-CN"/>
              </w:rPr>
              <w:t>(</w:t>
            </w:r>
            <w:r>
              <w:rPr>
                <w:rFonts w:hint="eastAsia" w:ascii="宋体" w:hAnsi="宋体" w:eastAsia="宋体"/>
              </w:rPr>
              <w:t>±2</w:t>
            </w:r>
            <w:r>
              <w:rPr>
                <w:rFonts w:hint="eastAsia" w:ascii="宋体" w:hAnsi="宋体" w:eastAsia="宋体"/>
                <w:lang w:eastAsia="zh-CN"/>
              </w:rPr>
              <w:t>)</w:t>
            </w:r>
            <w:r>
              <w:rPr>
                <w:rFonts w:hint="eastAsia" w:ascii="宋体" w:hAnsi="宋体" w:eastAsia="宋体"/>
                <w:lang w:val="en-US" w:eastAsia="zh-CN"/>
              </w:rPr>
              <w:t>/2</w:t>
            </w:r>
            <w:r>
              <w:rPr>
                <w:rFonts w:hint="eastAsia" w:ascii="宋体" w:hAnsi="宋体" w:eastAsia="宋体"/>
                <w:lang w:eastAsia="zh-CN"/>
              </w:rPr>
              <w:t>×纬向</w:t>
            </w:r>
            <w:r>
              <w:rPr>
                <w:rFonts w:hint="eastAsia" w:ascii="宋体" w:hAnsi="宋体" w:eastAsia="宋体"/>
                <w:lang w:val="en-US" w:eastAsia="zh-CN"/>
              </w:rPr>
              <w:t>120D</w:t>
            </w:r>
            <w:r>
              <w:rPr>
                <w:rFonts w:hint="eastAsia" w:ascii="宋体" w:hAnsi="宋体" w:eastAsia="宋体"/>
                <w:lang w:eastAsia="zh-CN"/>
              </w:rPr>
              <w:t>(</w:t>
            </w:r>
            <w:r>
              <w:rPr>
                <w:rFonts w:hint="eastAsia" w:ascii="宋体" w:hAnsi="宋体" w:eastAsia="宋体"/>
              </w:rPr>
              <w:t>±2</w:t>
            </w:r>
            <w:r>
              <w:rPr>
                <w:rFonts w:hint="eastAsia" w:ascii="宋体" w:hAnsi="宋体" w:eastAsia="宋体"/>
                <w:lang w:eastAsia="zh-CN"/>
              </w:rPr>
              <w:t>)，密度：</w:t>
            </w:r>
            <w:r>
              <w:rPr>
                <w:rFonts w:hint="eastAsia" w:ascii="宋体" w:hAnsi="宋体" w:eastAsia="宋体"/>
                <w:lang w:val="en-US" w:eastAsia="zh-CN"/>
              </w:rPr>
              <w:t>510</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lang w:val="en-US" w:eastAsia="zh-CN"/>
              </w:rPr>
              <w:t>*335</w:t>
            </w:r>
            <w:r>
              <w:rPr>
                <w:rFonts w:hint="eastAsia" w:ascii="宋体" w:hAnsi="宋体" w:eastAsia="宋体"/>
                <w:lang w:eastAsia="zh-CN"/>
              </w:rPr>
              <w:t>(</w:t>
            </w:r>
            <w:r>
              <w:rPr>
                <w:rFonts w:hint="eastAsia" w:ascii="宋体" w:hAnsi="宋体" w:eastAsia="宋体"/>
              </w:rPr>
              <w:t>±5</w:t>
            </w:r>
            <w:r>
              <w:rPr>
                <w:rFonts w:hint="eastAsia" w:ascii="宋体" w:hAnsi="宋体" w:eastAsia="宋体"/>
                <w:lang w:eastAsia="zh-CN"/>
              </w:rPr>
              <w:t>)</w:t>
            </w:r>
            <w:r>
              <w:rPr>
                <w:rFonts w:hint="eastAsia" w:ascii="宋体" w:hAnsi="宋体" w:eastAsia="宋体"/>
                <w:lang w:val="en-US" w:eastAsia="zh-CN"/>
              </w:rPr>
              <w:t>根/10cm</w:t>
            </w:r>
            <w:r>
              <w:rPr>
                <w:rFonts w:hint="eastAsia" w:ascii="宋体" w:hAnsi="宋体" w:eastAsia="宋体"/>
                <w:lang w:eastAsia="zh-CN"/>
              </w:rPr>
              <w:t>，</w:t>
            </w:r>
            <w:r>
              <w:rPr>
                <w:rFonts w:hint="eastAsia" w:ascii="宋体" w:hAnsi="宋体" w:eastAsia="宋体"/>
              </w:rPr>
              <w:t>克重：≥</w:t>
            </w:r>
            <w:r>
              <w:rPr>
                <w:rFonts w:hint="eastAsia" w:ascii="宋体" w:hAnsi="宋体" w:eastAsia="宋体"/>
                <w:lang w:val="en-US" w:eastAsia="zh-CN"/>
              </w:rPr>
              <w:t>120</w:t>
            </w:r>
            <w:r>
              <w:rPr>
                <w:rFonts w:hint="eastAsia" w:ascii="宋体" w:hAnsi="宋体" w:eastAsia="宋体"/>
              </w:rPr>
              <w:t>g/㎡</w:t>
            </w:r>
            <w:r>
              <w:rPr>
                <w:rFonts w:hint="eastAsia" w:ascii="宋体" w:hAnsi="宋体" w:eastAsia="宋体"/>
                <w:lang w:eastAsia="zh-CN"/>
              </w:rPr>
              <w:t>，无异味</w:t>
            </w:r>
            <w:r>
              <w:rPr>
                <w:rFonts w:hint="eastAsia" w:ascii="宋体" w:hAnsi="宋体" w:eastAsia="宋体"/>
              </w:rPr>
              <w:t>。</w:t>
            </w:r>
          </w:p>
          <w:p>
            <w:pPr>
              <w:pStyle w:val="40"/>
              <w:bidi w:val="0"/>
              <w:rPr>
                <w:rFonts w:hint="eastAsia" w:ascii="宋体" w:hAnsi="宋体" w:eastAsia="宋体"/>
              </w:rPr>
            </w:pPr>
            <w:r>
              <w:rPr>
                <w:rFonts w:hint="eastAsia" w:ascii="宋体" w:hAnsi="宋体" w:eastAsia="宋体"/>
              </w:rPr>
              <w:t>款式：(1)男式</w:t>
            </w:r>
            <w:r>
              <w:rPr>
                <w:rFonts w:hint="eastAsia" w:ascii="宋体" w:hAnsi="宋体" w:eastAsia="宋体"/>
                <w:lang w:eastAsia="zh-CN"/>
              </w:rPr>
              <w:t>：</w:t>
            </w:r>
            <w:r>
              <w:rPr>
                <w:rFonts w:hint="eastAsia" w:ascii="宋体" w:hAnsi="宋体" w:eastAsia="宋体"/>
              </w:rPr>
              <w:t>标准八字领，圆摆男衬衫</w:t>
            </w:r>
            <w:r>
              <w:rPr>
                <w:rFonts w:hint="eastAsia" w:ascii="宋体" w:hAnsi="宋体" w:eastAsia="宋体"/>
                <w:lang w:eastAsia="zh-CN"/>
              </w:rPr>
              <w:t>；</w:t>
            </w:r>
            <w:r>
              <w:rPr>
                <w:rFonts w:hint="eastAsia" w:ascii="宋体" w:hAnsi="宋体" w:eastAsia="宋体"/>
              </w:rPr>
              <w:t>(2)女式</w:t>
            </w:r>
            <w:r>
              <w:rPr>
                <w:rFonts w:hint="eastAsia" w:ascii="宋体" w:hAnsi="宋体" w:eastAsia="宋体"/>
                <w:lang w:eastAsia="zh-CN"/>
              </w:rPr>
              <w:t>：</w:t>
            </w:r>
            <w:r>
              <w:rPr>
                <w:rFonts w:hint="eastAsia" w:ascii="宋体" w:hAnsi="宋体" w:eastAsia="宋体"/>
              </w:rPr>
              <w:t>小圆领，圆摆女式衬衫</w:t>
            </w:r>
          </w:p>
          <w:p>
            <w:pPr>
              <w:pStyle w:val="40"/>
              <w:bidi w:val="0"/>
              <w:rPr>
                <w:rFonts w:hint="eastAsia" w:ascii="宋体" w:hAnsi="宋体" w:eastAsia="宋体"/>
              </w:rPr>
            </w:pPr>
            <w:r>
              <w:rPr>
                <w:rFonts w:hint="eastAsia" w:ascii="宋体" w:hAnsi="宋体" w:eastAsia="宋体"/>
              </w:rPr>
              <w:t>颜色：衬衫白色</w:t>
            </w:r>
          </w:p>
          <w:p>
            <w:pPr>
              <w:pStyle w:val="40"/>
              <w:bidi w:val="0"/>
              <w:rPr>
                <w:rFonts w:hint="eastAsia" w:ascii="宋体" w:hAnsi="宋体" w:eastAsia="宋体"/>
              </w:rPr>
            </w:pPr>
            <w:r>
              <w:rPr>
                <w:rFonts w:hint="eastAsia" w:ascii="宋体" w:hAnsi="宋体" w:eastAsia="宋体"/>
              </w:rPr>
              <w:t>做工：领口左右对称，袋位高低一致，上袖圆顺。整体平服，纽扣牢固，明线顺直。</w:t>
            </w:r>
          </w:p>
          <w:p>
            <w:pPr>
              <w:pStyle w:val="40"/>
              <w:bidi w:val="0"/>
              <w:rPr>
                <w:rFonts w:hint="eastAsia" w:ascii="宋体" w:hAnsi="宋体" w:eastAsia="宋体"/>
              </w:rPr>
            </w:pPr>
            <w:r>
              <w:rPr>
                <w:rFonts w:hint="eastAsia" w:ascii="宋体" w:hAnsi="宋体" w:eastAsia="宋体"/>
              </w:rPr>
              <w:t>★符合《国</w:t>
            </w:r>
            <w:r>
              <w:rPr>
                <w:rFonts w:hint="eastAsia" w:ascii="宋体" w:hAnsi="宋体" w:eastAsia="宋体"/>
                <w:lang w:val="en-US" w:eastAsia="zh-CN"/>
              </w:rPr>
              <w:t>家</w:t>
            </w:r>
            <w:r>
              <w:rPr>
                <w:rFonts w:hint="eastAsia" w:ascii="宋体" w:hAnsi="宋体" w:eastAsia="宋体"/>
              </w:rPr>
              <w:t>纺织品基本安全技术规</w:t>
            </w:r>
            <w:r>
              <w:rPr>
                <w:rFonts w:hint="eastAsia" w:ascii="宋体" w:hAnsi="宋体" w:eastAsia="宋体"/>
                <w:lang w:val="en-US" w:eastAsia="zh-CN"/>
              </w:rPr>
              <w:t>范</w:t>
            </w:r>
            <w:r>
              <w:rPr>
                <w:rFonts w:hint="eastAsia" w:ascii="宋体" w:hAnsi="宋体" w:eastAsia="宋体"/>
              </w:rPr>
              <w:t>》GB18401-2010标准。</w:t>
            </w:r>
          </w:p>
          <w:p>
            <w:pPr>
              <w:pStyle w:val="40"/>
              <w:bidi w:val="0"/>
              <w:rPr>
                <w:rFonts w:hint="eastAsia" w:ascii="宋体" w:hAnsi="宋体" w:eastAsia="宋体"/>
              </w:rPr>
            </w:pPr>
            <w:r>
              <w:rPr>
                <w:rFonts w:hint="eastAsia" w:ascii="宋体" w:hAnsi="宋体" w:eastAsia="宋体"/>
              </w:rPr>
              <w:t>▲投标时投标人提供国家认可的第三方检测机构出具的主体面料质量检验合格报告复印件</w:t>
            </w:r>
            <w:r>
              <w:rPr>
                <w:rFonts w:hint="eastAsia" w:ascii="宋体" w:hAnsi="宋体" w:eastAsia="宋体"/>
                <w:lang w:eastAsia="zh-CN"/>
              </w:rPr>
              <w:t>(</w:t>
            </w:r>
            <w:r>
              <w:rPr>
                <w:rFonts w:hint="eastAsia" w:ascii="宋体" w:hAnsi="宋体" w:eastAsia="宋体"/>
              </w:rPr>
              <w:t>该报告出具年限为2022年1月1日以后</w:t>
            </w:r>
            <w:r>
              <w:rPr>
                <w:rFonts w:hint="eastAsia" w:ascii="宋体" w:hAnsi="宋体" w:eastAsia="宋体"/>
                <w:lang w:eastAsia="zh-CN"/>
              </w:rPr>
              <w:t>)</w:t>
            </w:r>
            <w:r>
              <w:rPr>
                <w:rFonts w:hint="eastAsia" w:ascii="宋体" w:hAnsi="宋体" w:eastAsia="宋体"/>
              </w:rPr>
              <w:t>。</w:t>
            </w:r>
          </w:p>
        </w:tc>
        <w:tc>
          <w:tcPr>
            <w:tcW w:w="158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651635" cy="1417320"/>
                  <wp:effectExtent l="0" t="0" r="5715" b="1905"/>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33"/>
                          <a:srcRect b="51009"/>
                          <a:stretch>
                            <a:fillRect/>
                          </a:stretch>
                        </pic:blipFill>
                        <pic:spPr>
                          <a:xfrm>
                            <a:off x="0" y="0"/>
                            <a:ext cx="1651635" cy="1417320"/>
                          </a:xfrm>
                          <a:prstGeom prst="rect">
                            <a:avLst/>
                          </a:prstGeom>
                          <a:noFill/>
                          <a:ln>
                            <a:noFill/>
                          </a:ln>
                        </pic:spPr>
                      </pic:pic>
                    </a:graphicData>
                  </a:graphic>
                </wp:inline>
              </w:drawing>
            </w:r>
            <w:r>
              <w:rPr>
                <w:rFonts w:hint="eastAsia" w:ascii="宋体" w:hAnsi="宋体" w:eastAsia="宋体" w:cs="宋体"/>
                <w:color w:val="auto"/>
                <w:sz w:val="21"/>
                <w:szCs w:val="21"/>
                <w:highlight w:val="none"/>
              </w:rPr>
              <w:drawing>
                <wp:inline distT="0" distB="0" distL="114300" distR="114300">
                  <wp:extent cx="1638935" cy="1337310"/>
                  <wp:effectExtent l="0" t="0" r="8890" b="5715"/>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pic:cNvPicPr>
                        </pic:nvPicPr>
                        <pic:blipFill>
                          <a:blip r:embed="rId34"/>
                          <a:srcRect b="52559"/>
                          <a:stretch>
                            <a:fillRect/>
                          </a:stretch>
                        </pic:blipFill>
                        <pic:spPr>
                          <a:xfrm>
                            <a:off x="0" y="0"/>
                            <a:ext cx="1638935" cy="13373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7"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p>
        </w:tc>
        <w:tc>
          <w:tcPr>
            <w:tcW w:w="474"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p>
        </w:tc>
        <w:tc>
          <w:tcPr>
            <w:tcW w:w="37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短袖T恤</w:t>
            </w:r>
          </w:p>
        </w:tc>
        <w:tc>
          <w:tcPr>
            <w:tcW w:w="2322" w:type="pct"/>
            <w:noWrap w:val="0"/>
            <w:vAlign w:val="center"/>
          </w:tcPr>
          <w:p>
            <w:pPr>
              <w:pStyle w:val="40"/>
              <w:bidi w:val="0"/>
              <w:rPr>
                <w:rFonts w:hint="eastAsia" w:ascii="宋体" w:hAnsi="宋体" w:eastAsia="宋体"/>
              </w:rPr>
            </w:pPr>
            <w:r>
              <w:rPr>
                <w:rFonts w:hint="eastAsia" w:ascii="宋体" w:hAnsi="宋体" w:eastAsia="宋体"/>
              </w:rPr>
              <w:t>面料：</w:t>
            </w:r>
            <w:r>
              <w:rPr>
                <w:rFonts w:hint="eastAsia" w:ascii="宋体" w:hAnsi="宋体" w:eastAsia="宋体"/>
                <w:lang w:val="en-US" w:eastAsia="zh-CN"/>
              </w:rPr>
              <w:t>100%棉</w:t>
            </w:r>
            <w:r>
              <w:rPr>
                <w:rFonts w:hint="eastAsia" w:ascii="宋体" w:hAnsi="宋体" w:eastAsia="宋体"/>
                <w:lang w:eastAsia="zh-CN"/>
              </w:rPr>
              <w:t>，</w:t>
            </w:r>
            <w:r>
              <w:rPr>
                <w:rFonts w:hint="eastAsia" w:ascii="宋体" w:hAnsi="宋体" w:eastAsia="宋体"/>
              </w:rPr>
              <w:t>纱支：26s</w:t>
            </w:r>
            <w:r>
              <w:rPr>
                <w:rFonts w:hint="eastAsia" w:ascii="宋体" w:hAnsi="宋体" w:eastAsia="宋体"/>
                <w:lang w:eastAsia="zh-CN"/>
              </w:rPr>
              <w:t>(</w:t>
            </w:r>
            <w:r>
              <w:rPr>
                <w:rFonts w:hint="eastAsia" w:ascii="宋体" w:hAnsi="宋体" w:eastAsia="宋体"/>
              </w:rPr>
              <w:t>±2</w:t>
            </w:r>
            <w:r>
              <w:rPr>
                <w:rFonts w:hint="eastAsia" w:ascii="宋体" w:hAnsi="宋体" w:eastAsia="宋体"/>
                <w:lang w:eastAsia="zh-CN"/>
              </w:rPr>
              <w:t>)</w:t>
            </w:r>
            <w:r>
              <w:rPr>
                <w:rFonts w:hint="eastAsia" w:ascii="宋体" w:hAnsi="宋体" w:eastAsia="宋体"/>
              </w:rPr>
              <w:t>，克重：≥2</w:t>
            </w:r>
            <w:r>
              <w:rPr>
                <w:rFonts w:hint="eastAsia" w:ascii="宋体" w:hAnsi="宋体" w:eastAsia="宋体"/>
                <w:lang w:val="en-US" w:eastAsia="zh-CN"/>
              </w:rPr>
              <w:t>1</w:t>
            </w:r>
            <w:r>
              <w:rPr>
                <w:rFonts w:hint="eastAsia" w:ascii="宋体" w:hAnsi="宋体" w:eastAsia="宋体"/>
              </w:rPr>
              <w:t>0g/㎡</w:t>
            </w:r>
            <w:r>
              <w:rPr>
                <w:rFonts w:hint="eastAsia" w:ascii="宋体" w:hAnsi="宋体" w:eastAsia="宋体"/>
                <w:lang w:eastAsia="zh-CN"/>
              </w:rPr>
              <w:t>，无异味</w:t>
            </w:r>
            <w:r>
              <w:rPr>
                <w:rFonts w:hint="eastAsia" w:ascii="宋体" w:hAnsi="宋体" w:eastAsia="宋体"/>
              </w:rPr>
              <w:t>。</w:t>
            </w:r>
          </w:p>
          <w:p>
            <w:pPr>
              <w:pStyle w:val="40"/>
              <w:bidi w:val="0"/>
              <w:rPr>
                <w:rFonts w:hint="eastAsia" w:ascii="宋体" w:hAnsi="宋体" w:eastAsia="宋体"/>
              </w:rPr>
            </w:pPr>
            <w:r>
              <w:rPr>
                <w:rFonts w:hint="eastAsia" w:ascii="宋体" w:hAnsi="宋体" w:eastAsia="宋体"/>
              </w:rPr>
              <w:t>款式：小翻领，短袖。</w:t>
            </w:r>
          </w:p>
          <w:p>
            <w:pPr>
              <w:pStyle w:val="40"/>
              <w:bidi w:val="0"/>
              <w:rPr>
                <w:rFonts w:hint="eastAsia" w:ascii="宋体" w:hAnsi="宋体" w:eastAsia="宋体"/>
              </w:rPr>
            </w:pPr>
            <w:r>
              <w:rPr>
                <w:rFonts w:hint="eastAsia" w:ascii="宋体" w:hAnsi="宋体" w:eastAsia="宋体"/>
              </w:rPr>
              <w:t>颜色：白色；</w:t>
            </w:r>
          </w:p>
          <w:p>
            <w:pPr>
              <w:pStyle w:val="40"/>
              <w:bidi w:val="0"/>
              <w:rPr>
                <w:rFonts w:hint="eastAsia" w:ascii="宋体" w:hAnsi="宋体" w:eastAsia="宋体"/>
              </w:rPr>
            </w:pPr>
            <w:r>
              <w:rPr>
                <w:rFonts w:hint="eastAsia" w:ascii="宋体" w:hAnsi="宋体" w:eastAsia="宋体"/>
              </w:rPr>
              <w:t>做工：明线顺直，不崩线。</w:t>
            </w:r>
          </w:p>
          <w:p>
            <w:pPr>
              <w:pStyle w:val="40"/>
              <w:bidi w:val="0"/>
              <w:rPr>
                <w:rFonts w:hint="eastAsia" w:ascii="宋体" w:hAnsi="宋体" w:eastAsia="宋体"/>
              </w:rPr>
            </w:pPr>
            <w:r>
              <w:rPr>
                <w:rFonts w:hint="eastAsia" w:ascii="宋体" w:hAnsi="宋体" w:eastAsia="宋体"/>
              </w:rPr>
              <w:t>★符合《国</w:t>
            </w:r>
            <w:r>
              <w:rPr>
                <w:rFonts w:hint="eastAsia" w:ascii="宋体" w:hAnsi="宋体" w:eastAsia="宋体"/>
                <w:lang w:val="en-US" w:eastAsia="zh-CN"/>
              </w:rPr>
              <w:t>家</w:t>
            </w:r>
            <w:r>
              <w:rPr>
                <w:rFonts w:hint="eastAsia" w:ascii="宋体" w:hAnsi="宋体" w:eastAsia="宋体"/>
              </w:rPr>
              <w:t>纺织品基本安全技术规</w:t>
            </w:r>
            <w:r>
              <w:rPr>
                <w:rFonts w:hint="eastAsia" w:ascii="宋体" w:hAnsi="宋体" w:eastAsia="宋体"/>
                <w:lang w:val="en-US" w:eastAsia="zh-CN"/>
              </w:rPr>
              <w:t>范</w:t>
            </w:r>
            <w:r>
              <w:rPr>
                <w:rFonts w:hint="eastAsia" w:ascii="宋体" w:hAnsi="宋体" w:eastAsia="宋体"/>
              </w:rPr>
              <w:t>》GB18401-2010标准。</w:t>
            </w:r>
          </w:p>
          <w:p>
            <w:pPr>
              <w:pStyle w:val="40"/>
              <w:bidi w:val="0"/>
              <w:rPr>
                <w:rFonts w:hint="eastAsia" w:ascii="宋体" w:hAnsi="宋体" w:eastAsia="宋体"/>
              </w:rPr>
            </w:pPr>
            <w:r>
              <w:rPr>
                <w:rFonts w:hint="eastAsia" w:ascii="宋体" w:hAnsi="宋体" w:eastAsia="宋体"/>
              </w:rPr>
              <w:t>▲投标时投标人提供国家认可的第三方检测机构出具的主体面料质量检验合格报告复印件</w:t>
            </w:r>
            <w:r>
              <w:rPr>
                <w:rFonts w:hint="eastAsia" w:ascii="宋体" w:hAnsi="宋体" w:eastAsia="宋体"/>
                <w:lang w:eastAsia="zh-CN"/>
              </w:rPr>
              <w:t>(</w:t>
            </w:r>
            <w:r>
              <w:rPr>
                <w:rFonts w:hint="eastAsia" w:ascii="宋体" w:hAnsi="宋体" w:eastAsia="宋体"/>
              </w:rPr>
              <w:t>该报告出具年限为2022年1月1日以后</w:t>
            </w:r>
            <w:r>
              <w:rPr>
                <w:rFonts w:hint="eastAsia" w:ascii="宋体" w:hAnsi="宋体" w:eastAsia="宋体"/>
                <w:lang w:eastAsia="zh-CN"/>
              </w:rPr>
              <w:t>)。</w:t>
            </w:r>
          </w:p>
        </w:tc>
        <w:tc>
          <w:tcPr>
            <w:tcW w:w="158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360805" cy="1430020"/>
                  <wp:effectExtent l="0" t="0" r="1270" b="8255"/>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31"/>
                          <a:stretch>
                            <a:fillRect/>
                          </a:stretch>
                        </pic:blipFill>
                        <pic:spPr>
                          <a:xfrm>
                            <a:off x="0" y="0"/>
                            <a:ext cx="1360805" cy="14300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7"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p>
        </w:tc>
        <w:tc>
          <w:tcPr>
            <w:tcW w:w="474"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p>
        </w:tc>
        <w:tc>
          <w:tcPr>
            <w:tcW w:w="37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领带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仅男西装套装含</w:t>
            </w:r>
            <w:r>
              <w:rPr>
                <w:rFonts w:hint="eastAsia" w:ascii="宋体" w:hAnsi="宋体" w:eastAsia="宋体" w:cs="宋体"/>
                <w:color w:val="auto"/>
                <w:sz w:val="21"/>
                <w:szCs w:val="21"/>
                <w:highlight w:val="none"/>
                <w:lang w:eastAsia="zh-CN"/>
              </w:rPr>
              <w:t>)</w:t>
            </w:r>
          </w:p>
        </w:tc>
        <w:tc>
          <w:tcPr>
            <w:tcW w:w="2322" w:type="pct"/>
            <w:noWrap w:val="0"/>
            <w:vAlign w:val="center"/>
          </w:tcPr>
          <w:p>
            <w:pPr>
              <w:pStyle w:val="40"/>
              <w:bidi w:val="0"/>
              <w:rPr>
                <w:rFonts w:hint="eastAsia" w:ascii="宋体" w:hAnsi="宋体" w:eastAsia="宋体"/>
              </w:rPr>
            </w:pPr>
            <w:r>
              <w:rPr>
                <w:rFonts w:hint="eastAsia" w:ascii="宋体" w:hAnsi="宋体" w:eastAsia="宋体"/>
              </w:rPr>
              <w:t>面料：领带面料为100%聚酯纤维。</w:t>
            </w:r>
          </w:p>
          <w:p>
            <w:pPr>
              <w:pStyle w:val="40"/>
              <w:bidi w:val="0"/>
              <w:rPr>
                <w:rFonts w:hint="eastAsia" w:ascii="宋体" w:hAnsi="宋体" w:eastAsia="宋体"/>
              </w:rPr>
            </w:pPr>
            <w:r>
              <w:rPr>
                <w:rFonts w:hint="eastAsia" w:ascii="宋体" w:hAnsi="宋体" w:eastAsia="宋体"/>
              </w:rPr>
              <w:t>款式：标准领带。</w:t>
            </w:r>
            <w:r>
              <w:rPr>
                <w:rFonts w:hint="eastAsia" w:ascii="宋体" w:hAnsi="宋体" w:eastAsia="宋体"/>
                <w:lang w:val="en-US" w:eastAsia="zh-CN"/>
              </w:rPr>
              <w:t xml:space="preserve"> </w:t>
            </w:r>
          </w:p>
          <w:p>
            <w:pPr>
              <w:pStyle w:val="40"/>
              <w:bidi w:val="0"/>
              <w:rPr>
                <w:rFonts w:hint="eastAsia" w:ascii="宋体" w:hAnsi="宋体" w:eastAsia="宋体"/>
              </w:rPr>
            </w:pPr>
            <w:r>
              <w:rPr>
                <w:rFonts w:hint="eastAsia" w:ascii="宋体" w:hAnsi="宋体" w:eastAsia="宋体"/>
              </w:rPr>
              <w:t>颜色：藏蓝色</w:t>
            </w:r>
            <w:r>
              <w:rPr>
                <w:rFonts w:hint="eastAsia" w:ascii="宋体" w:hAnsi="宋体" w:eastAsia="宋体"/>
                <w:lang w:val="en-US"/>
              </w:rPr>
              <w:t>(</w:t>
            </w:r>
            <w:r>
              <w:rPr>
                <w:rFonts w:hint="eastAsia" w:ascii="宋体" w:hAnsi="宋体" w:eastAsia="宋体"/>
              </w:rPr>
              <w:t>格花</w:t>
            </w:r>
            <w:r>
              <w:rPr>
                <w:rFonts w:hint="eastAsia" w:ascii="宋体" w:hAnsi="宋体" w:eastAsia="宋体"/>
                <w:lang w:val="en-US"/>
              </w:rPr>
              <w:t>)</w:t>
            </w:r>
            <w:r>
              <w:rPr>
                <w:rFonts w:hint="eastAsia" w:ascii="宋体" w:hAnsi="宋体" w:eastAsia="宋体"/>
                <w:lang w:val="en-US" w:eastAsia="zh-CN"/>
              </w:rPr>
              <w:t>。</w:t>
            </w:r>
          </w:p>
          <w:p>
            <w:pPr>
              <w:pStyle w:val="40"/>
              <w:bidi w:val="0"/>
              <w:rPr>
                <w:rFonts w:hint="eastAsia" w:ascii="宋体" w:hAnsi="宋体" w:eastAsia="宋体"/>
              </w:rPr>
            </w:pPr>
            <w:r>
              <w:rPr>
                <w:rFonts w:hint="eastAsia" w:ascii="宋体" w:hAnsi="宋体" w:eastAsia="宋体"/>
              </w:rPr>
              <w:t>做工：明线顺直，不崩线。</w:t>
            </w:r>
          </w:p>
        </w:tc>
        <w:tc>
          <w:tcPr>
            <w:tcW w:w="1582"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396240" cy="1153795"/>
                  <wp:effectExtent l="0" t="0" r="3810" b="8255"/>
                  <wp:docPr id="29" name="图片 21" descr="7365c21e33d354ad1c967927eae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7365c21e33d354ad1c967927eae4269"/>
                          <pic:cNvPicPr>
                            <a:picLocks noChangeAspect="1"/>
                          </pic:cNvPicPr>
                        </pic:nvPicPr>
                        <pic:blipFill>
                          <a:blip r:embed="rId28"/>
                          <a:srcRect l="27090" r="27090"/>
                          <a:stretch>
                            <a:fillRect/>
                          </a:stretch>
                        </pic:blipFill>
                        <pic:spPr>
                          <a:xfrm>
                            <a:off x="0" y="0"/>
                            <a:ext cx="396240" cy="1153795"/>
                          </a:xfrm>
                          <a:prstGeom prst="rect">
                            <a:avLst/>
                          </a:prstGeom>
                          <a:noFill/>
                          <a:ln>
                            <a:noFill/>
                          </a:ln>
                        </pic:spPr>
                      </pic:pic>
                    </a:graphicData>
                  </a:graphic>
                </wp:inline>
              </w:drawing>
            </w:r>
          </w:p>
        </w:tc>
      </w:tr>
    </w:tbl>
    <w:p>
      <w:pPr>
        <w:pStyle w:val="36"/>
        <w:keepNext w:val="0"/>
        <w:keepLines w:val="0"/>
        <w:pageBreakBefore w:val="0"/>
        <w:widowControl w:val="0"/>
        <w:kinsoku/>
        <w:overflowPunct/>
        <w:autoSpaceDE/>
        <w:autoSpaceDN/>
        <w:bidi w:val="0"/>
        <w:spacing w:line="520" w:lineRule="exact"/>
        <w:ind w:leftChars="0" w:firstLine="482" w:firstLineChars="200"/>
        <w:textAlignment w:val="auto"/>
        <w:rPr>
          <w:rFonts w:hint="eastAsia" w:ascii="宋体" w:hAnsi="宋体" w:eastAsia="宋体"/>
          <w:color w:val="auto"/>
          <w:highlight w:val="none"/>
          <w:lang w:val="en-US" w:eastAsia="zh-CN"/>
        </w:rPr>
      </w:pPr>
      <w:bookmarkStart w:id="1152" w:name="_Toc16007"/>
      <w:r>
        <w:rPr>
          <w:rFonts w:hint="eastAsia" w:ascii="宋体" w:hAnsi="宋体" w:eastAsia="宋体"/>
          <w:color w:val="auto"/>
          <w:highlight w:val="none"/>
          <w:lang w:val="en-US" w:eastAsia="zh-CN"/>
        </w:rPr>
        <w:t>技术服务水平</w:t>
      </w:r>
      <w:bookmarkEnd w:id="1152"/>
    </w:p>
    <w:p>
      <w:pPr>
        <w:keepNext w:val="0"/>
        <w:keepLines w:val="0"/>
        <w:pageBreakBefore w:val="0"/>
        <w:widowControl w:val="0"/>
        <w:numPr>
          <w:ilvl w:val="4"/>
          <w:numId w:val="0"/>
        </w:numPr>
        <w:kinsoku/>
        <w:wordWrap/>
        <w:overflowPunct/>
        <w:topLinePunct w:val="0"/>
        <w:autoSpaceDE/>
        <w:autoSpaceDN/>
        <w:bidi w:val="0"/>
        <w:adjustRightInd/>
        <w:snapToGrid/>
        <w:spacing w:before="0" w:after="0" w:line="520" w:lineRule="exact"/>
        <w:ind w:leftChars="0" w:firstLine="482" w:firstLineChars="200"/>
        <w:jc w:val="left"/>
        <w:textAlignment w:val="auto"/>
        <w:outlineLvl w:val="9"/>
        <w:rPr>
          <w:rFonts w:hint="default" w:ascii="宋体" w:hAnsi="宋体" w:eastAsia="宋体" w:cs="宋体"/>
          <w:b/>
          <w:bCs w:val="0"/>
          <w:color w:val="auto"/>
          <w:spacing w:val="0"/>
          <w:w w:val="100"/>
          <w:kern w:val="0"/>
          <w:sz w:val="24"/>
          <w:szCs w:val="24"/>
          <w:highlight w:val="none"/>
          <w:lang w:val="en-US" w:eastAsia="zh-CN" w:bidi="ar-SA"/>
        </w:rPr>
      </w:pPr>
      <w:r>
        <w:rPr>
          <w:rFonts w:hint="eastAsia" w:ascii="宋体" w:hAnsi="宋体" w:eastAsia="宋体" w:cs="宋体"/>
          <w:b/>
          <w:bCs w:val="0"/>
          <w:color w:val="auto"/>
          <w:spacing w:val="0"/>
          <w:w w:val="100"/>
          <w:kern w:val="0"/>
          <w:sz w:val="24"/>
          <w:szCs w:val="24"/>
          <w:highlight w:val="none"/>
          <w:lang w:val="en-US" w:eastAsia="zh-CN" w:bidi="ar-SA"/>
        </w:rPr>
        <w:t>(一)项目实施方案</w:t>
      </w:r>
    </w:p>
    <w:p>
      <w:pPr>
        <w:keepNext w:val="0"/>
        <w:keepLines w:val="0"/>
        <w:pageBreakBefore w:val="0"/>
        <w:widowControl w:val="0"/>
        <w:numPr>
          <w:ilvl w:val="4"/>
          <w:numId w:val="0"/>
        </w:numPr>
        <w:kinsoku/>
        <w:wordWrap/>
        <w:overflowPunct/>
        <w:topLinePunct w:val="0"/>
        <w:autoSpaceDE/>
        <w:autoSpaceDN/>
        <w:bidi w:val="0"/>
        <w:adjustRightInd/>
        <w:snapToGrid/>
        <w:spacing w:before="0" w:after="0" w:line="520" w:lineRule="exact"/>
        <w:ind w:leftChars="0" w:firstLine="480" w:firstLineChars="200"/>
        <w:jc w:val="left"/>
        <w:textAlignment w:val="auto"/>
        <w:outlineLvl w:val="9"/>
        <w:rPr>
          <w:rFonts w:hint="eastAsia" w:ascii="宋体" w:hAnsi="宋体" w:eastAsia="宋体" w:cs="宋体"/>
          <w:b w:val="0"/>
          <w:bCs/>
          <w:color w:val="auto"/>
          <w:spacing w:val="0"/>
          <w:w w:val="100"/>
          <w:kern w:val="0"/>
          <w:sz w:val="24"/>
          <w:szCs w:val="24"/>
          <w:highlight w:val="none"/>
          <w:lang w:val="en-US" w:eastAsia="zh-CN" w:bidi="ar-SA"/>
        </w:rPr>
      </w:pPr>
      <w:r>
        <w:rPr>
          <w:rFonts w:hint="eastAsia" w:ascii="宋体" w:hAnsi="宋体" w:eastAsia="宋体" w:cs="宋体"/>
          <w:b w:val="0"/>
          <w:bCs/>
          <w:color w:val="auto"/>
          <w:spacing w:val="0"/>
          <w:w w:val="100"/>
          <w:kern w:val="0"/>
          <w:sz w:val="24"/>
          <w:szCs w:val="24"/>
          <w:highlight w:val="none"/>
          <w:lang w:val="en-US" w:eastAsia="zh-CN" w:bidi="ar-SA"/>
        </w:rPr>
        <w:t>包含①项目人员配置及分工；②项目时间安排及进度计划（测量、制造、配送、补货等）；③质量保障措施；④现场售卖安排及安全保障措施；⑤应急预案；⑥售后服务保障等。</w:t>
      </w:r>
    </w:p>
    <w:p>
      <w:pPr>
        <w:keepNext w:val="0"/>
        <w:keepLines w:val="0"/>
        <w:pageBreakBefore w:val="0"/>
        <w:widowControl w:val="0"/>
        <w:numPr>
          <w:ilvl w:val="4"/>
          <w:numId w:val="0"/>
        </w:numPr>
        <w:kinsoku/>
        <w:wordWrap/>
        <w:overflowPunct/>
        <w:topLinePunct w:val="0"/>
        <w:autoSpaceDE/>
        <w:autoSpaceDN/>
        <w:bidi w:val="0"/>
        <w:adjustRightInd/>
        <w:snapToGrid/>
        <w:spacing w:before="0" w:after="0" w:line="520" w:lineRule="exact"/>
        <w:ind w:leftChars="0" w:firstLine="482" w:firstLineChars="200"/>
        <w:jc w:val="left"/>
        <w:textAlignment w:val="auto"/>
        <w:outlineLvl w:val="9"/>
        <w:rPr>
          <w:rFonts w:hint="default" w:ascii="宋体" w:hAnsi="宋体" w:eastAsia="宋体" w:cs="宋体"/>
          <w:b/>
          <w:bCs w:val="0"/>
          <w:color w:val="auto"/>
          <w:spacing w:val="0"/>
          <w:w w:val="100"/>
          <w:kern w:val="0"/>
          <w:sz w:val="24"/>
          <w:szCs w:val="24"/>
          <w:highlight w:val="none"/>
          <w:lang w:val="en-US" w:eastAsia="zh-CN" w:bidi="ar-SA"/>
        </w:rPr>
      </w:pPr>
      <w:r>
        <w:rPr>
          <w:rFonts w:hint="default" w:ascii="宋体" w:hAnsi="宋体" w:eastAsia="宋体" w:cs="宋体"/>
          <w:b/>
          <w:bCs w:val="0"/>
          <w:color w:val="auto"/>
          <w:spacing w:val="0"/>
          <w:w w:val="100"/>
          <w:kern w:val="0"/>
          <w:sz w:val="24"/>
          <w:szCs w:val="24"/>
          <w:highlight w:val="none"/>
          <w:lang w:val="en-US" w:eastAsia="zh-CN" w:bidi="ar-SA"/>
        </w:rPr>
        <w:t>注：(1)以上内容满足要求是指①内容与项目技术服务需求吻合、层次细化，有具体详细的阐述；②阐述从实际出发，切合项目背景、项目需求以及市场供应情况发现问题并提出合理化专业技术建议或者解决方案；③内容符合国家、地方、行业标准、行业惯例以及项目特点。④内容清楚明了、表述规范、含义准确。</w:t>
      </w:r>
    </w:p>
    <w:p>
      <w:pPr>
        <w:keepNext w:val="0"/>
        <w:keepLines w:val="0"/>
        <w:pageBreakBefore w:val="0"/>
        <w:widowControl w:val="0"/>
        <w:numPr>
          <w:ilvl w:val="4"/>
          <w:numId w:val="0"/>
        </w:numPr>
        <w:kinsoku/>
        <w:wordWrap/>
        <w:overflowPunct/>
        <w:topLinePunct w:val="0"/>
        <w:autoSpaceDE/>
        <w:autoSpaceDN/>
        <w:bidi w:val="0"/>
        <w:adjustRightInd/>
        <w:snapToGrid/>
        <w:spacing w:before="0" w:after="0" w:line="520" w:lineRule="exact"/>
        <w:ind w:leftChars="0" w:firstLine="482" w:firstLineChars="200"/>
        <w:jc w:val="left"/>
        <w:textAlignment w:val="auto"/>
        <w:outlineLvl w:val="9"/>
        <w:rPr>
          <w:rFonts w:hint="default" w:ascii="宋体" w:hAnsi="宋体" w:eastAsia="宋体" w:cs="宋体"/>
          <w:b/>
          <w:bCs w:val="0"/>
          <w:color w:val="auto"/>
          <w:spacing w:val="0"/>
          <w:w w:val="100"/>
          <w:kern w:val="0"/>
          <w:sz w:val="24"/>
          <w:szCs w:val="24"/>
          <w:highlight w:val="none"/>
          <w:lang w:val="en-US" w:eastAsia="zh-CN" w:bidi="ar-SA"/>
        </w:rPr>
      </w:pPr>
      <w:r>
        <w:rPr>
          <w:rFonts w:hint="default" w:ascii="宋体" w:hAnsi="宋体" w:eastAsia="宋体" w:cs="宋体"/>
          <w:b/>
          <w:bCs w:val="0"/>
          <w:color w:val="auto"/>
          <w:spacing w:val="0"/>
          <w:w w:val="100"/>
          <w:kern w:val="0"/>
          <w:sz w:val="24"/>
          <w:szCs w:val="24"/>
          <w:highlight w:val="none"/>
          <w:lang w:val="en-US" w:eastAsia="zh-CN" w:bidi="ar-SA"/>
        </w:rPr>
        <w:t>(2)存在不足是指①内容生搬硬造，阐述存在逻辑错误，前后矛盾；②涉及内容无重点，未能体现出本项目的特点或与实际需求不完全相符；③语言错误或存在歧义，项目名称、实施地点、政策、规范标准与本项目不一致等情形。</w:t>
      </w:r>
    </w:p>
    <w:p>
      <w:pPr>
        <w:keepNext w:val="0"/>
        <w:keepLines w:val="0"/>
        <w:pageBreakBefore w:val="0"/>
        <w:widowControl w:val="0"/>
        <w:numPr>
          <w:ilvl w:val="4"/>
          <w:numId w:val="0"/>
        </w:numPr>
        <w:kinsoku/>
        <w:wordWrap/>
        <w:overflowPunct/>
        <w:topLinePunct w:val="0"/>
        <w:autoSpaceDE/>
        <w:autoSpaceDN/>
        <w:bidi w:val="0"/>
        <w:adjustRightInd/>
        <w:snapToGrid/>
        <w:spacing w:before="0" w:after="0" w:line="520" w:lineRule="exact"/>
        <w:ind w:leftChars="0" w:firstLine="482" w:firstLineChars="200"/>
        <w:jc w:val="left"/>
        <w:textAlignment w:val="auto"/>
        <w:outlineLvl w:val="9"/>
        <w:rPr>
          <w:rFonts w:hint="default" w:ascii="宋体" w:hAnsi="宋体" w:eastAsia="宋体" w:cs="宋体"/>
          <w:b/>
          <w:bCs w:val="0"/>
          <w:color w:val="auto"/>
          <w:spacing w:val="0"/>
          <w:w w:val="100"/>
          <w:kern w:val="0"/>
          <w:sz w:val="24"/>
          <w:szCs w:val="24"/>
          <w:highlight w:val="none"/>
          <w:lang w:val="en-US" w:eastAsia="zh-CN" w:bidi="ar-SA"/>
        </w:rPr>
      </w:pPr>
      <w:r>
        <w:rPr>
          <w:rFonts w:hint="eastAsia" w:ascii="宋体" w:hAnsi="宋体" w:eastAsia="宋体" w:cs="宋体"/>
          <w:b/>
          <w:bCs w:val="0"/>
          <w:color w:val="auto"/>
          <w:spacing w:val="0"/>
          <w:w w:val="100"/>
          <w:kern w:val="0"/>
          <w:sz w:val="24"/>
          <w:szCs w:val="24"/>
          <w:highlight w:val="none"/>
          <w:lang w:val="en-US" w:eastAsia="zh-CN" w:bidi="ar-SA"/>
        </w:rPr>
        <w:t>(二)履约能力</w:t>
      </w:r>
    </w:p>
    <w:p>
      <w:pPr>
        <w:pStyle w:val="30"/>
        <w:keepNext w:val="0"/>
        <w:keepLines w:val="0"/>
        <w:pageBreakBefore w:val="0"/>
        <w:widowControl w:val="0"/>
        <w:numPr>
          <w:ilvl w:val="4"/>
          <w:numId w:val="0"/>
        </w:numPr>
        <w:kinsoku/>
        <w:wordWrap/>
        <w:overflowPunct/>
        <w:topLinePunct w:val="0"/>
        <w:autoSpaceDE/>
        <w:autoSpaceDN/>
        <w:bidi w:val="0"/>
        <w:adjustRightInd/>
        <w:snapToGrid/>
        <w:spacing w:before="0" w:after="0" w:line="52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1.投标人具有服装相关专利证书</w:t>
      </w:r>
      <w:r>
        <w:rPr>
          <w:rFonts w:hint="eastAsia" w:asciiTheme="minorEastAsia" w:hAnsiTheme="minorEastAsia" w:eastAsiaTheme="minorEastAsia" w:cstheme="minorEastAsia"/>
          <w:b/>
          <w:bCs w:val="0"/>
          <w:color w:val="auto"/>
          <w:sz w:val="24"/>
          <w:szCs w:val="24"/>
          <w:highlight w:val="none"/>
          <w:lang w:val="en-US" w:eastAsia="zh-CN"/>
        </w:rPr>
        <w:t>(提供相关证书复印件)。</w:t>
      </w:r>
    </w:p>
    <w:p>
      <w:pPr>
        <w:pStyle w:val="30"/>
        <w:keepNext w:val="0"/>
        <w:keepLines w:val="0"/>
        <w:pageBreakBefore w:val="0"/>
        <w:widowControl w:val="0"/>
        <w:numPr>
          <w:ilvl w:val="4"/>
          <w:numId w:val="0"/>
        </w:numPr>
        <w:kinsoku/>
        <w:wordWrap/>
        <w:overflowPunct/>
        <w:topLinePunct w:val="0"/>
        <w:autoSpaceDE/>
        <w:autoSpaceDN/>
        <w:bidi w:val="0"/>
        <w:adjustRightInd/>
        <w:snapToGrid/>
        <w:spacing w:before="0" w:after="0" w:line="520" w:lineRule="exact"/>
        <w:ind w:leftChars="0" w:firstLine="480" w:firstLineChars="200"/>
        <w:textAlignment w:val="auto"/>
        <w:outlineLvl w:val="9"/>
        <w:rPr>
          <w:rFonts w:hint="default"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2.投标人提供2022年1月1日(含1日)以来具有类似项目业绩</w:t>
      </w:r>
      <w:r>
        <w:rPr>
          <w:rFonts w:hint="eastAsia" w:asciiTheme="minorEastAsia" w:hAnsiTheme="minorEastAsia" w:eastAsiaTheme="minorEastAsia" w:cstheme="minorEastAsia"/>
          <w:b/>
          <w:bCs w:val="0"/>
          <w:color w:val="auto"/>
          <w:sz w:val="24"/>
          <w:szCs w:val="24"/>
          <w:highlight w:val="none"/>
          <w:lang w:val="en-US" w:eastAsia="zh-CN"/>
        </w:rPr>
        <w:t>(提供完整的合同复印件；类似业绩指：投标人有服装制作类业绩)。</w:t>
      </w:r>
    </w:p>
    <w:p>
      <w:pPr>
        <w:pStyle w:val="36"/>
        <w:keepNext w:val="0"/>
        <w:keepLines w:val="0"/>
        <w:pageBreakBefore w:val="0"/>
        <w:widowControl w:val="0"/>
        <w:kinsoku/>
        <w:wordWrap w:val="0"/>
        <w:overflowPunct/>
        <w:topLinePunct/>
        <w:autoSpaceDE/>
        <w:autoSpaceDN/>
        <w:bidi w:val="0"/>
        <w:adjustRightInd w:val="0"/>
        <w:snapToGrid w:val="0"/>
        <w:spacing w:line="520" w:lineRule="exact"/>
        <w:ind w:leftChars="0" w:firstLine="482" w:firstLineChars="200"/>
        <w:textAlignment w:val="auto"/>
        <w:rPr>
          <w:rFonts w:hint="eastAsia"/>
          <w:color w:val="auto"/>
          <w:highlight w:val="none"/>
          <w:lang w:val="en-US" w:eastAsia="zh-CN"/>
        </w:rPr>
      </w:pPr>
      <w:bookmarkStart w:id="1153" w:name="_Toc23433"/>
      <w:r>
        <w:rPr>
          <w:rFonts w:hint="eastAsia"/>
          <w:color w:val="auto"/>
          <w:highlight w:val="none"/>
          <w:lang w:val="en-US" w:eastAsia="zh-CN"/>
        </w:rPr>
        <w:t>★商务要求</w:t>
      </w:r>
      <w:bookmarkEnd w:id="1120"/>
      <w:bookmarkEnd w:id="1153"/>
    </w:p>
    <w:p>
      <w:pPr>
        <w:pStyle w:val="34"/>
        <w:keepNext w:val="0"/>
        <w:keepLines w:val="0"/>
        <w:pageBreakBefore w:val="0"/>
        <w:widowControl w:val="0"/>
        <w:numPr>
          <w:ilvl w:val="1"/>
          <w:numId w:val="32"/>
        </w:numPr>
        <w:kinsoku/>
        <w:overflowPunct/>
        <w:autoSpaceDE/>
        <w:autoSpaceDN/>
        <w:bidi w:val="0"/>
        <w:spacing w:line="520" w:lineRule="exact"/>
        <w:ind w:leftChars="0" w:firstLine="482" w:firstLineChars="200"/>
        <w:textAlignment w:val="auto"/>
        <w:rPr>
          <w:rFonts w:hint="eastAsia"/>
          <w:b/>
          <w:bCs/>
          <w:color w:val="auto"/>
          <w:highlight w:val="none"/>
          <w:lang w:val="en-US" w:eastAsia="zh-CN"/>
        </w:rPr>
      </w:pPr>
      <w:r>
        <w:rPr>
          <w:rFonts w:hint="eastAsia"/>
          <w:b/>
          <w:bCs/>
          <w:color w:val="auto"/>
          <w:highlight w:val="none"/>
          <w:lang w:val="en-US" w:eastAsia="zh-CN"/>
        </w:rPr>
        <w:t>履约时间和地点</w:t>
      </w:r>
    </w:p>
    <w:p>
      <w:pPr>
        <w:pStyle w:val="30"/>
        <w:keepNext w:val="0"/>
        <w:keepLines w:val="0"/>
        <w:pageBreakBefore w:val="0"/>
        <w:widowControl w:val="0"/>
        <w:numPr>
          <w:ilvl w:val="4"/>
          <w:numId w:val="0"/>
        </w:numPr>
        <w:kinsoku/>
        <w:wordWrap/>
        <w:overflowPunct/>
        <w:topLinePunct w:val="0"/>
        <w:autoSpaceDE/>
        <w:autoSpaceDN/>
        <w:bidi w:val="0"/>
        <w:adjustRightInd/>
        <w:snapToGrid/>
        <w:spacing w:before="0" w:after="0" w:line="520" w:lineRule="exact"/>
        <w:ind w:leftChars="0" w:firstLine="480" w:firstLineChars="200"/>
        <w:textAlignment w:val="auto"/>
        <w:outlineLvl w:val="9"/>
        <w:rPr>
          <w:rFonts w:hint="default"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1.履约时间：投标人在收到采购人书面通知(测量)之日起7个日历天内完成现场测量；测量后经采购人确认之日起60个日历天内完成工装、西服套装制造、送货工作，按照采购人要求完成现场发售工作。送货后售后服务期为60个日历天，售后服务期从服装验收合格之日起计算。</w:t>
      </w:r>
    </w:p>
    <w:p>
      <w:pPr>
        <w:pStyle w:val="30"/>
        <w:keepNext w:val="0"/>
        <w:keepLines w:val="0"/>
        <w:pageBreakBefore w:val="0"/>
        <w:widowControl w:val="0"/>
        <w:numPr>
          <w:ilvl w:val="4"/>
          <w:numId w:val="0"/>
        </w:numPr>
        <w:kinsoku/>
        <w:wordWrap/>
        <w:overflowPunct/>
        <w:topLinePunct w:val="0"/>
        <w:autoSpaceDE/>
        <w:autoSpaceDN/>
        <w:bidi w:val="0"/>
        <w:adjustRightInd/>
        <w:snapToGrid/>
        <w:spacing w:before="0" w:after="0" w:line="52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2.履约地点：</w:t>
      </w:r>
    </w:p>
    <w:p>
      <w:pPr>
        <w:keepNext w:val="0"/>
        <w:keepLines w:val="0"/>
        <w:pageBreakBefore w:val="0"/>
        <w:widowControl w:val="0"/>
        <w:kinsoku/>
        <w:overflowPunct/>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bCs/>
          <w:color w:val="auto"/>
          <w:kern w:val="0"/>
          <w:sz w:val="24"/>
          <w:highlight w:val="none"/>
        </w:rPr>
      </w:pPr>
      <w:r>
        <w:rPr>
          <w:rFonts w:hint="eastAsia" w:asciiTheme="minorEastAsia" w:hAnsiTheme="minorEastAsia" w:eastAsiaTheme="minorEastAsia" w:cstheme="minorEastAsia"/>
          <w:bCs/>
          <w:color w:val="auto"/>
          <w:kern w:val="0"/>
          <w:sz w:val="24"/>
          <w:highlight w:val="none"/>
          <w:lang w:val="en-US" w:eastAsia="zh-CN"/>
        </w:rPr>
        <w:t>2.</w:t>
      </w:r>
      <w:r>
        <w:rPr>
          <w:rFonts w:hint="eastAsia" w:asciiTheme="minorEastAsia" w:hAnsiTheme="minorEastAsia" w:eastAsiaTheme="minorEastAsia" w:cstheme="minorEastAsia"/>
          <w:bCs/>
          <w:color w:val="auto"/>
          <w:kern w:val="0"/>
          <w:sz w:val="24"/>
          <w:highlight w:val="none"/>
        </w:rPr>
        <w:t>1郫都校区：成都市郫都区港通北三路1899号 </w:t>
      </w:r>
    </w:p>
    <w:p>
      <w:pPr>
        <w:keepNext w:val="0"/>
        <w:keepLines w:val="0"/>
        <w:pageBreakBefore w:val="0"/>
        <w:widowControl w:val="0"/>
        <w:kinsoku/>
        <w:overflowPunct/>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bCs/>
          <w:color w:val="auto"/>
          <w:kern w:val="0"/>
          <w:sz w:val="24"/>
          <w:highlight w:val="none"/>
        </w:rPr>
      </w:pPr>
      <w:r>
        <w:rPr>
          <w:rFonts w:hint="eastAsia" w:asciiTheme="minorEastAsia" w:hAnsiTheme="minorEastAsia" w:eastAsiaTheme="minorEastAsia" w:cstheme="minorEastAsia"/>
          <w:bCs/>
          <w:color w:val="auto"/>
          <w:kern w:val="0"/>
          <w:sz w:val="24"/>
          <w:highlight w:val="none"/>
          <w:lang w:val="en-US" w:eastAsia="zh-CN"/>
        </w:rPr>
        <w:t>2.</w:t>
      </w:r>
      <w:r>
        <w:rPr>
          <w:rFonts w:hint="eastAsia" w:asciiTheme="minorEastAsia" w:hAnsiTheme="minorEastAsia" w:eastAsiaTheme="minorEastAsia" w:cstheme="minorEastAsia"/>
          <w:bCs/>
          <w:color w:val="auto"/>
          <w:kern w:val="0"/>
          <w:sz w:val="24"/>
          <w:highlight w:val="none"/>
        </w:rPr>
        <w:t>2新都校区：成都市新都区北新路301号</w:t>
      </w:r>
    </w:p>
    <w:p>
      <w:pPr>
        <w:keepNext w:val="0"/>
        <w:keepLines w:val="0"/>
        <w:pageBreakBefore w:val="0"/>
        <w:widowControl w:val="0"/>
        <w:kinsoku/>
        <w:overflowPunct/>
        <w:autoSpaceDE/>
        <w:autoSpaceDN/>
        <w:bidi w:val="0"/>
        <w:spacing w:line="520" w:lineRule="exact"/>
        <w:ind w:firstLine="480" w:firstLineChars="200"/>
        <w:textAlignment w:val="auto"/>
        <w:rPr>
          <w:rFonts w:hint="eastAsia" w:asciiTheme="minorEastAsia" w:hAnsiTheme="minorEastAsia" w:eastAsiaTheme="minorEastAsia" w:cstheme="minorEastAsia"/>
          <w:bCs/>
          <w:color w:val="auto"/>
          <w:kern w:val="0"/>
          <w:sz w:val="24"/>
          <w:highlight w:val="none"/>
        </w:rPr>
      </w:pPr>
      <w:r>
        <w:rPr>
          <w:rFonts w:hint="eastAsia" w:asciiTheme="minorEastAsia" w:hAnsiTheme="minorEastAsia" w:eastAsiaTheme="minorEastAsia" w:cstheme="minorEastAsia"/>
          <w:bCs/>
          <w:color w:val="auto"/>
          <w:kern w:val="0"/>
          <w:sz w:val="24"/>
          <w:highlight w:val="none"/>
          <w:lang w:val="en-US" w:eastAsia="zh-CN"/>
        </w:rPr>
        <w:t>2.</w:t>
      </w:r>
      <w:r>
        <w:rPr>
          <w:rFonts w:hint="eastAsia" w:asciiTheme="minorEastAsia" w:hAnsiTheme="minorEastAsia" w:eastAsiaTheme="minorEastAsia" w:cstheme="minorEastAsia"/>
          <w:bCs/>
          <w:color w:val="auto"/>
          <w:kern w:val="0"/>
          <w:sz w:val="24"/>
          <w:highlight w:val="none"/>
        </w:rPr>
        <w:t>3郫都西校区：成都市郫都区高店路1666号</w:t>
      </w:r>
    </w:p>
    <w:p>
      <w:pPr>
        <w:keepNext w:val="0"/>
        <w:keepLines w:val="0"/>
        <w:pageBreakBefore w:val="0"/>
        <w:widowControl w:val="0"/>
        <w:kinsoku/>
        <w:overflowPunct/>
        <w:autoSpaceDE/>
        <w:autoSpaceDN/>
        <w:bidi w:val="0"/>
        <w:spacing w:line="520" w:lineRule="exact"/>
        <w:ind w:firstLine="480" w:firstLineChars="200"/>
        <w:textAlignment w:val="auto"/>
        <w:rPr>
          <w:rFonts w:hint="eastAsia" w:asciiTheme="minorEastAsia" w:hAnsiTheme="minorEastAsia" w:eastAsiaTheme="minorEastAsia" w:cstheme="minorEastAsia"/>
          <w:bCs/>
          <w:color w:val="auto"/>
          <w:kern w:val="0"/>
          <w:sz w:val="24"/>
          <w:highlight w:val="none"/>
        </w:rPr>
      </w:pPr>
      <w:r>
        <w:rPr>
          <w:rFonts w:hint="eastAsia" w:asciiTheme="minorEastAsia" w:hAnsiTheme="minorEastAsia" w:eastAsiaTheme="minorEastAsia" w:cstheme="minorEastAsia"/>
          <w:bCs/>
          <w:color w:val="auto"/>
          <w:kern w:val="0"/>
          <w:sz w:val="24"/>
          <w:highlight w:val="none"/>
          <w:lang w:val="en-US" w:eastAsia="zh-CN"/>
        </w:rPr>
        <w:t>2.</w:t>
      </w:r>
      <w:r>
        <w:rPr>
          <w:rFonts w:hint="eastAsia" w:asciiTheme="minorEastAsia" w:hAnsiTheme="minorEastAsia" w:eastAsiaTheme="minorEastAsia" w:cstheme="minorEastAsia"/>
          <w:bCs/>
          <w:color w:val="auto"/>
          <w:kern w:val="0"/>
          <w:sz w:val="24"/>
          <w:highlight w:val="none"/>
        </w:rPr>
        <w:t>4成华校区：成都市成华区槐树店路32号 </w:t>
      </w:r>
    </w:p>
    <w:p>
      <w:pPr>
        <w:pStyle w:val="34"/>
        <w:keepNext w:val="0"/>
        <w:keepLines w:val="0"/>
        <w:pageBreakBefore w:val="0"/>
        <w:widowControl w:val="0"/>
        <w:numPr>
          <w:ilvl w:val="1"/>
          <w:numId w:val="32"/>
        </w:numPr>
        <w:kinsoku/>
        <w:overflowPunct/>
        <w:autoSpaceDE/>
        <w:autoSpaceDN/>
        <w:bidi w:val="0"/>
        <w:spacing w:line="520" w:lineRule="exact"/>
        <w:ind w:leftChars="0" w:firstLine="482" w:firstLineChars="200"/>
        <w:textAlignment w:val="auto"/>
        <w:rPr>
          <w:rFonts w:hint="eastAsia"/>
          <w:b/>
          <w:bCs/>
          <w:color w:val="auto"/>
          <w:highlight w:val="none"/>
          <w:lang w:val="en-US" w:eastAsia="zh-CN"/>
        </w:rPr>
      </w:pPr>
      <w:r>
        <w:rPr>
          <w:rFonts w:hint="eastAsia"/>
          <w:b/>
          <w:bCs/>
          <w:color w:val="auto"/>
          <w:highlight w:val="none"/>
          <w:lang w:val="en-US" w:eastAsia="zh-CN"/>
        </w:rPr>
        <w:t>合同价款及付款方式</w:t>
      </w:r>
    </w:p>
    <w:p>
      <w:pPr>
        <w:pStyle w:val="31"/>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520" w:lineRule="exact"/>
        <w:ind w:leftChars="0" w:firstLine="480" w:firstLineChars="200"/>
        <w:textAlignment w:val="auto"/>
        <w:outlineLvl w:val="9"/>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1.合同价款</w:t>
      </w:r>
    </w:p>
    <w:p>
      <w:pPr>
        <w:pStyle w:val="30"/>
        <w:keepNext w:val="0"/>
        <w:keepLines w:val="0"/>
        <w:pageBreakBefore w:val="0"/>
        <w:widowControl w:val="0"/>
        <w:numPr>
          <w:ilvl w:val="4"/>
          <w:numId w:val="0"/>
        </w:numPr>
        <w:kinsoku/>
        <w:wordWrap/>
        <w:overflowPunct/>
        <w:topLinePunct w:val="0"/>
        <w:autoSpaceDE/>
        <w:autoSpaceDN/>
        <w:bidi w:val="0"/>
        <w:adjustRightInd/>
        <w:snapToGrid/>
        <w:spacing w:before="0" w:after="0" w:line="52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中标单价为固定综合单价，包括但不限于测量、服装设计、原材料、服装制作、包装、运输、质检、人工、售后服务(修补、更换)等完成服装交付所需的所有费用。本合同执行期间单价不变，采购人无须另向投标人支付本合同规定之外的其他任何费用。</w:t>
      </w:r>
    </w:p>
    <w:p>
      <w:pPr>
        <w:pStyle w:val="30"/>
        <w:keepNext w:val="0"/>
        <w:keepLines w:val="0"/>
        <w:pageBreakBefore w:val="0"/>
        <w:widowControl w:val="0"/>
        <w:numPr>
          <w:ilvl w:val="4"/>
          <w:numId w:val="0"/>
        </w:numPr>
        <w:kinsoku/>
        <w:wordWrap/>
        <w:overflowPunct/>
        <w:topLinePunct w:val="0"/>
        <w:autoSpaceDE/>
        <w:autoSpaceDN/>
        <w:bidi w:val="0"/>
        <w:adjustRightInd/>
        <w:snapToGrid/>
        <w:spacing w:before="0" w:after="0" w:line="52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2.支付方式</w:t>
      </w:r>
    </w:p>
    <w:p>
      <w:pPr>
        <w:pStyle w:val="30"/>
        <w:keepNext w:val="0"/>
        <w:keepLines w:val="0"/>
        <w:pageBreakBefore w:val="0"/>
        <w:widowControl w:val="0"/>
        <w:numPr>
          <w:ilvl w:val="4"/>
          <w:numId w:val="0"/>
        </w:numPr>
        <w:kinsoku/>
        <w:wordWrap/>
        <w:overflowPunct/>
        <w:topLinePunct w:val="0"/>
        <w:autoSpaceDE/>
        <w:autoSpaceDN/>
        <w:bidi w:val="0"/>
        <w:adjustRightInd/>
        <w:snapToGrid/>
        <w:spacing w:before="0" w:after="0" w:line="52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费用由学生在购买时自行向投标人支付(学生在现场可选择微信、支付宝、现金交易方式支付)。</w:t>
      </w:r>
    </w:p>
    <w:p>
      <w:pPr>
        <w:pStyle w:val="34"/>
        <w:keepNext w:val="0"/>
        <w:keepLines w:val="0"/>
        <w:pageBreakBefore w:val="0"/>
        <w:widowControl w:val="0"/>
        <w:numPr>
          <w:ilvl w:val="1"/>
          <w:numId w:val="32"/>
        </w:numPr>
        <w:kinsoku/>
        <w:overflowPunct/>
        <w:autoSpaceDE/>
        <w:autoSpaceDN/>
        <w:bidi w:val="0"/>
        <w:spacing w:line="520" w:lineRule="exact"/>
        <w:ind w:leftChars="0"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质量及供货渠道要求</w:t>
      </w:r>
    </w:p>
    <w:p>
      <w:pPr>
        <w:pStyle w:val="30"/>
        <w:keepNext w:val="0"/>
        <w:keepLines w:val="0"/>
        <w:pageBreakBefore w:val="0"/>
        <w:widowControl w:val="0"/>
        <w:numPr>
          <w:ilvl w:val="4"/>
          <w:numId w:val="0"/>
        </w:numPr>
        <w:kinsoku/>
        <w:wordWrap/>
        <w:overflowPunct/>
        <w:topLinePunct w:val="0"/>
        <w:autoSpaceDE/>
        <w:autoSpaceDN/>
        <w:bidi w:val="0"/>
        <w:adjustRightInd/>
        <w:snapToGrid/>
        <w:spacing w:before="0" w:after="0" w:line="52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1.工装面料、辅料、配件(料)和制作工艺等有关安全与质量都必须符合国家(行业)标准，以及本项目招标文件规定的质量、规格的要求。</w:t>
      </w:r>
    </w:p>
    <w:p>
      <w:pPr>
        <w:pStyle w:val="30"/>
        <w:keepNext w:val="0"/>
        <w:keepLines w:val="0"/>
        <w:pageBreakBefore w:val="0"/>
        <w:widowControl w:val="0"/>
        <w:numPr>
          <w:ilvl w:val="4"/>
          <w:numId w:val="0"/>
        </w:numPr>
        <w:kinsoku/>
        <w:wordWrap/>
        <w:overflowPunct/>
        <w:topLinePunct w:val="0"/>
        <w:autoSpaceDE/>
        <w:autoSpaceDN/>
        <w:bidi w:val="0"/>
        <w:adjustRightInd/>
        <w:snapToGrid/>
        <w:spacing w:before="0" w:after="0" w:line="52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2.投标人应保证服装是全新、未使用过的原装合格正品。杜绝假冒伪劣。尺寸符合国家标准，穿着后无皮肤过敏等问题。产品整洁，无污渍、线头，服装熨烫平整。</w:t>
      </w:r>
    </w:p>
    <w:p>
      <w:pPr>
        <w:pStyle w:val="30"/>
        <w:keepNext w:val="0"/>
        <w:keepLines w:val="0"/>
        <w:pageBreakBefore w:val="0"/>
        <w:widowControl w:val="0"/>
        <w:numPr>
          <w:ilvl w:val="4"/>
          <w:numId w:val="0"/>
        </w:numPr>
        <w:kinsoku/>
        <w:wordWrap/>
        <w:overflowPunct/>
        <w:topLinePunct w:val="0"/>
        <w:autoSpaceDE/>
        <w:autoSpaceDN/>
        <w:bidi w:val="0"/>
        <w:adjustRightInd/>
        <w:snapToGrid/>
        <w:spacing w:before="0" w:after="0" w:line="52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3.投标人严格按照采购人开学计划和要求按时、按质、按量配送产品，送达采购人指定地点后负责服装的发放。</w:t>
      </w:r>
    </w:p>
    <w:p>
      <w:pPr>
        <w:pStyle w:val="30"/>
        <w:keepNext w:val="0"/>
        <w:keepLines w:val="0"/>
        <w:pageBreakBefore w:val="0"/>
        <w:widowControl w:val="0"/>
        <w:numPr>
          <w:ilvl w:val="4"/>
          <w:numId w:val="0"/>
        </w:numPr>
        <w:kinsoku/>
        <w:wordWrap/>
        <w:overflowPunct/>
        <w:topLinePunct w:val="0"/>
        <w:autoSpaceDE/>
        <w:autoSpaceDN/>
        <w:bidi w:val="0"/>
        <w:adjustRightInd/>
        <w:snapToGrid/>
        <w:spacing w:before="0" w:after="0" w:line="52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4.服装水洗唛必须标明：产品型号规格、面料成份、材质含量及等级。</w:t>
      </w:r>
    </w:p>
    <w:p>
      <w:pPr>
        <w:pStyle w:val="30"/>
        <w:keepNext w:val="0"/>
        <w:keepLines w:val="0"/>
        <w:pageBreakBefore w:val="0"/>
        <w:widowControl w:val="0"/>
        <w:numPr>
          <w:ilvl w:val="4"/>
          <w:numId w:val="0"/>
        </w:numPr>
        <w:kinsoku/>
        <w:wordWrap/>
        <w:overflowPunct/>
        <w:topLinePunct w:val="0"/>
        <w:autoSpaceDE/>
        <w:autoSpaceDN/>
        <w:bidi w:val="0"/>
        <w:adjustRightInd/>
        <w:snapToGrid/>
        <w:spacing w:before="0" w:after="0" w:line="52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5.如果投标人提供的服装的质量或规格与招标文件和投标人的投标文件不符，或证实服装是有缺陷的，包括潜在的缺陷等，投标人应在接到采购人书面通知之日起15日历天内完成换货，如因不合格服装给采购人及学生造成损失，投标人还应承担赔偿责任。服装因质量问题产生的质监处罚由投标人负全部经济和法律责任。</w:t>
      </w:r>
    </w:p>
    <w:p>
      <w:pPr>
        <w:pStyle w:val="34"/>
        <w:keepNext w:val="0"/>
        <w:keepLines w:val="0"/>
        <w:pageBreakBefore w:val="0"/>
        <w:widowControl w:val="0"/>
        <w:numPr>
          <w:ilvl w:val="1"/>
          <w:numId w:val="32"/>
        </w:numPr>
        <w:kinsoku/>
        <w:overflowPunct/>
        <w:autoSpaceDE/>
        <w:autoSpaceDN/>
        <w:bidi w:val="0"/>
        <w:spacing w:line="520" w:lineRule="exact"/>
        <w:ind w:leftChars="0"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b/>
          <w:bCs/>
          <w:color w:val="auto"/>
          <w:highlight w:val="none"/>
          <w:lang w:val="en-US" w:eastAsia="zh-CN"/>
        </w:rPr>
        <w:t>包装</w:t>
      </w:r>
      <w:r>
        <w:rPr>
          <w:rFonts w:hint="eastAsia" w:asciiTheme="minorEastAsia" w:hAnsiTheme="minorEastAsia" w:eastAsiaTheme="minorEastAsia" w:cstheme="minorEastAsia"/>
          <w:b/>
          <w:bCs/>
          <w:color w:val="auto"/>
          <w:sz w:val="24"/>
          <w:szCs w:val="24"/>
          <w:highlight w:val="none"/>
          <w:lang w:val="en-US" w:eastAsia="zh-CN"/>
        </w:rPr>
        <w:t>和运输</w:t>
      </w:r>
    </w:p>
    <w:p>
      <w:pPr>
        <w:pStyle w:val="30"/>
        <w:keepNext w:val="0"/>
        <w:keepLines w:val="0"/>
        <w:pageBreakBefore w:val="0"/>
        <w:widowControl w:val="0"/>
        <w:numPr>
          <w:ilvl w:val="4"/>
          <w:numId w:val="0"/>
        </w:numPr>
        <w:kinsoku/>
        <w:wordWrap/>
        <w:overflowPunct/>
        <w:topLinePunct w:val="0"/>
        <w:autoSpaceDE/>
        <w:autoSpaceDN/>
        <w:bidi w:val="0"/>
        <w:adjustRightInd/>
        <w:snapToGrid/>
        <w:spacing w:before="0" w:after="0" w:line="520" w:lineRule="exact"/>
        <w:ind w:leftChars="0"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1.投标人按采购人的二级学院、专业、班级、学生人数分别包装，并在包装外明确标注：班级、学生姓名、件数等内容；</w:t>
      </w:r>
    </w:p>
    <w:p>
      <w:pPr>
        <w:pStyle w:val="30"/>
        <w:keepNext w:val="0"/>
        <w:keepLines w:val="0"/>
        <w:pageBreakBefore w:val="0"/>
        <w:widowControl w:val="0"/>
        <w:numPr>
          <w:ilvl w:val="4"/>
          <w:numId w:val="0"/>
        </w:numPr>
        <w:kinsoku/>
        <w:wordWrap/>
        <w:overflowPunct/>
        <w:topLinePunct w:val="0"/>
        <w:autoSpaceDE/>
        <w:autoSpaceDN/>
        <w:bidi w:val="0"/>
        <w:adjustRightInd/>
        <w:snapToGrid/>
        <w:spacing w:before="0" w:after="0" w:line="520" w:lineRule="exact"/>
        <w:ind w:leftChars="0" w:firstLine="480" w:firstLineChars="200"/>
        <w:textAlignment w:val="auto"/>
        <w:outlineLvl w:val="9"/>
        <w:rPr>
          <w:rFonts w:hint="default"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2.送达采购人指定交货地点后负责发放。</w:t>
      </w:r>
    </w:p>
    <w:p>
      <w:pPr>
        <w:pStyle w:val="34"/>
        <w:keepNext w:val="0"/>
        <w:keepLines w:val="0"/>
        <w:pageBreakBefore w:val="0"/>
        <w:widowControl w:val="0"/>
        <w:numPr>
          <w:ilvl w:val="1"/>
          <w:numId w:val="32"/>
        </w:numPr>
        <w:kinsoku/>
        <w:overflowPunct/>
        <w:autoSpaceDE/>
        <w:autoSpaceDN/>
        <w:bidi w:val="0"/>
        <w:spacing w:line="520" w:lineRule="exact"/>
        <w:ind w:leftChars="0"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售后服务要求</w:t>
      </w:r>
    </w:p>
    <w:p>
      <w:pPr>
        <w:pStyle w:val="36"/>
        <w:keepNext w:val="0"/>
        <w:keepLines w:val="0"/>
        <w:pageBreakBefore w:val="0"/>
        <w:widowControl w:val="0"/>
        <w:numPr>
          <w:ilvl w:val="1"/>
          <w:numId w:val="0"/>
        </w:numPr>
        <w:kinsoku/>
        <w:wordWrap w:val="0"/>
        <w:overflowPunct/>
        <w:topLinePunct/>
        <w:autoSpaceDE/>
        <w:autoSpaceDN/>
        <w:bidi w:val="0"/>
        <w:spacing w:line="520" w:lineRule="exact"/>
        <w:ind w:leftChars="0" w:firstLine="480" w:firstLineChars="200"/>
        <w:jc w:val="both"/>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bookmarkStart w:id="1154" w:name="_Toc7388"/>
      <w:r>
        <w:rPr>
          <w:rFonts w:hint="eastAsia" w:asciiTheme="minorEastAsia" w:hAnsiTheme="minorEastAsia" w:eastAsiaTheme="minorEastAsia" w:cstheme="minorEastAsia"/>
          <w:b w:val="0"/>
          <w:bCs/>
          <w:color w:val="auto"/>
          <w:sz w:val="24"/>
          <w:szCs w:val="24"/>
          <w:highlight w:val="none"/>
          <w:lang w:val="en-US" w:eastAsia="zh-CN"/>
        </w:rPr>
        <w:t>1.</w:t>
      </w:r>
      <w:bookmarkStart w:id="1155" w:name="_Toc26092"/>
      <w:bookmarkStart w:id="1156" w:name="_Toc29665"/>
      <w:bookmarkStart w:id="1157" w:name="_Toc13988"/>
      <w:bookmarkStart w:id="1158" w:name="_Toc22607"/>
      <w:bookmarkStart w:id="1159" w:name="_Toc10114"/>
      <w:bookmarkStart w:id="1160" w:name="_Toc1688"/>
      <w:r>
        <w:rPr>
          <w:rFonts w:hint="eastAsia" w:asciiTheme="minorEastAsia" w:hAnsiTheme="minorEastAsia" w:eastAsiaTheme="minorEastAsia" w:cstheme="minorEastAsia"/>
          <w:b w:val="0"/>
          <w:bCs/>
          <w:color w:val="auto"/>
          <w:sz w:val="24"/>
          <w:szCs w:val="24"/>
          <w:highlight w:val="none"/>
          <w:lang w:val="en-US" w:eastAsia="zh-CN"/>
        </w:rPr>
        <w:t>投标人指派专人负责与采购人联系售后服务事宜，投标人须提供售后服务联系人、售后服务电话、投诉电话。</w:t>
      </w:r>
      <w:bookmarkEnd w:id="1154"/>
      <w:bookmarkEnd w:id="1155"/>
      <w:bookmarkEnd w:id="1156"/>
      <w:bookmarkEnd w:id="1157"/>
    </w:p>
    <w:p>
      <w:pPr>
        <w:pStyle w:val="36"/>
        <w:keepNext w:val="0"/>
        <w:keepLines w:val="0"/>
        <w:pageBreakBefore w:val="0"/>
        <w:widowControl w:val="0"/>
        <w:numPr>
          <w:ilvl w:val="1"/>
          <w:numId w:val="0"/>
        </w:numPr>
        <w:kinsoku/>
        <w:wordWrap w:val="0"/>
        <w:overflowPunct/>
        <w:topLinePunct/>
        <w:autoSpaceDE/>
        <w:autoSpaceDN/>
        <w:bidi w:val="0"/>
        <w:spacing w:line="520" w:lineRule="exact"/>
        <w:ind w:leftChars="0" w:firstLine="480" w:firstLineChars="200"/>
        <w:jc w:val="both"/>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bookmarkStart w:id="1161" w:name="_Toc30848"/>
      <w:bookmarkStart w:id="1162" w:name="_Toc26889"/>
      <w:bookmarkStart w:id="1163" w:name="_Toc25293"/>
      <w:bookmarkStart w:id="1164" w:name="_Toc20718"/>
      <w:r>
        <w:rPr>
          <w:rFonts w:hint="eastAsia" w:asciiTheme="minorEastAsia" w:hAnsiTheme="minorEastAsia" w:eastAsiaTheme="minorEastAsia" w:cstheme="minorEastAsia"/>
          <w:b w:val="0"/>
          <w:bCs/>
          <w:color w:val="auto"/>
          <w:sz w:val="24"/>
          <w:szCs w:val="24"/>
          <w:highlight w:val="none"/>
          <w:lang w:val="en-US" w:eastAsia="zh-CN"/>
        </w:rPr>
        <w:t>2.若采购人对该项目的数量有增减变动时，投标人应负责配合采购人调剂。</w:t>
      </w:r>
      <w:bookmarkEnd w:id="1161"/>
      <w:bookmarkEnd w:id="1162"/>
      <w:bookmarkEnd w:id="1163"/>
      <w:bookmarkEnd w:id="1164"/>
    </w:p>
    <w:p>
      <w:pPr>
        <w:pStyle w:val="36"/>
        <w:keepNext w:val="0"/>
        <w:keepLines w:val="0"/>
        <w:pageBreakBefore w:val="0"/>
        <w:widowControl w:val="0"/>
        <w:numPr>
          <w:ilvl w:val="1"/>
          <w:numId w:val="0"/>
        </w:numPr>
        <w:kinsoku/>
        <w:wordWrap w:val="0"/>
        <w:overflowPunct/>
        <w:topLinePunct/>
        <w:autoSpaceDE/>
        <w:autoSpaceDN/>
        <w:bidi w:val="0"/>
        <w:spacing w:line="520" w:lineRule="exact"/>
        <w:ind w:leftChars="0" w:firstLine="480" w:firstLineChars="200"/>
        <w:jc w:val="both"/>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bookmarkStart w:id="1165" w:name="_Toc14962"/>
      <w:bookmarkStart w:id="1166" w:name="_Toc21117"/>
      <w:bookmarkStart w:id="1167" w:name="_Toc7953"/>
      <w:bookmarkStart w:id="1168" w:name="_Toc18347"/>
      <w:r>
        <w:rPr>
          <w:rFonts w:hint="eastAsia" w:asciiTheme="minorEastAsia" w:hAnsiTheme="minorEastAsia" w:eastAsiaTheme="minorEastAsia" w:cstheme="minorEastAsia"/>
          <w:b w:val="0"/>
          <w:bCs/>
          <w:color w:val="auto"/>
          <w:sz w:val="24"/>
          <w:szCs w:val="24"/>
          <w:highlight w:val="none"/>
          <w:lang w:val="en-US" w:eastAsia="zh-CN"/>
        </w:rPr>
        <w:t>3.售后服务期内非人为因素造成服装破损、褪色或学生皮肤不适等情况，投标人在接到采购人通知后7个日历天内完成免费更换或修补。</w:t>
      </w:r>
      <w:bookmarkEnd w:id="1165"/>
      <w:bookmarkEnd w:id="1166"/>
      <w:bookmarkEnd w:id="1167"/>
      <w:bookmarkEnd w:id="1168"/>
    </w:p>
    <w:p>
      <w:pPr>
        <w:pStyle w:val="36"/>
        <w:keepNext w:val="0"/>
        <w:keepLines w:val="0"/>
        <w:pageBreakBefore w:val="0"/>
        <w:widowControl w:val="0"/>
        <w:numPr>
          <w:ilvl w:val="1"/>
          <w:numId w:val="0"/>
        </w:numPr>
        <w:kinsoku/>
        <w:wordWrap w:val="0"/>
        <w:overflowPunct/>
        <w:topLinePunct/>
        <w:autoSpaceDE/>
        <w:autoSpaceDN/>
        <w:bidi w:val="0"/>
        <w:spacing w:line="520" w:lineRule="exact"/>
        <w:ind w:leftChars="0" w:firstLine="480" w:firstLineChars="200"/>
        <w:jc w:val="both"/>
        <w:textAlignment w:val="auto"/>
        <w:outlineLvl w:val="9"/>
        <w:rPr>
          <w:rFonts w:hint="default" w:asciiTheme="minorEastAsia" w:hAnsiTheme="minorEastAsia" w:eastAsiaTheme="minorEastAsia" w:cstheme="minorEastAsia"/>
          <w:b w:val="0"/>
          <w:bCs/>
          <w:color w:val="auto"/>
          <w:sz w:val="24"/>
          <w:szCs w:val="24"/>
          <w:highlight w:val="none"/>
          <w:lang w:val="en-US" w:eastAsia="zh-CN"/>
        </w:rPr>
      </w:pPr>
      <w:bookmarkStart w:id="1169" w:name="_Toc6499"/>
      <w:bookmarkStart w:id="1170" w:name="_Toc5334"/>
      <w:bookmarkStart w:id="1171" w:name="_Toc8587"/>
      <w:bookmarkStart w:id="1172" w:name="_Toc29514"/>
      <w:r>
        <w:rPr>
          <w:rFonts w:hint="eastAsia" w:asciiTheme="minorEastAsia" w:hAnsiTheme="minorEastAsia" w:eastAsiaTheme="minorEastAsia" w:cstheme="minorEastAsia"/>
          <w:b w:val="0"/>
          <w:bCs/>
          <w:color w:val="auto"/>
          <w:sz w:val="24"/>
          <w:szCs w:val="24"/>
          <w:highlight w:val="none"/>
          <w:lang w:val="en-US" w:eastAsia="zh-CN"/>
        </w:rPr>
        <w:t>4.投标人应按采购人的要求及时追加提供各种型号的服装和特殊尺寸的服装。</w:t>
      </w:r>
      <w:bookmarkEnd w:id="1158"/>
      <w:bookmarkEnd w:id="1159"/>
      <w:bookmarkEnd w:id="1160"/>
      <w:bookmarkEnd w:id="1169"/>
      <w:bookmarkEnd w:id="1170"/>
      <w:bookmarkEnd w:id="1171"/>
      <w:bookmarkEnd w:id="1172"/>
    </w:p>
    <w:p>
      <w:pPr>
        <w:pStyle w:val="34"/>
        <w:keepNext w:val="0"/>
        <w:keepLines w:val="0"/>
        <w:pageBreakBefore w:val="0"/>
        <w:widowControl w:val="0"/>
        <w:numPr>
          <w:ilvl w:val="1"/>
          <w:numId w:val="32"/>
        </w:numPr>
        <w:kinsoku/>
        <w:overflowPunct/>
        <w:autoSpaceDE/>
        <w:autoSpaceDN/>
        <w:bidi w:val="0"/>
        <w:spacing w:line="520" w:lineRule="exact"/>
        <w:ind w:leftChars="0"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保险</w:t>
      </w:r>
    </w:p>
    <w:p>
      <w:pPr>
        <w:pStyle w:val="30"/>
        <w:keepNext w:val="0"/>
        <w:keepLines w:val="0"/>
        <w:pageBreakBefore w:val="0"/>
        <w:widowControl w:val="0"/>
        <w:numPr>
          <w:ilvl w:val="4"/>
          <w:numId w:val="0"/>
        </w:numPr>
        <w:kinsoku/>
        <w:wordWrap/>
        <w:overflowPunct/>
        <w:topLinePunct w:val="0"/>
        <w:autoSpaceDE/>
        <w:autoSpaceDN/>
        <w:bidi w:val="0"/>
        <w:spacing w:before="0" w:after="0" w:line="520" w:lineRule="exact"/>
        <w:ind w:lef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投标人为项目配置的工作人员在工作期间必须购买劳动法规定的各项保险。</w:t>
      </w:r>
    </w:p>
    <w:p>
      <w:pPr>
        <w:pStyle w:val="36"/>
        <w:keepNext w:val="0"/>
        <w:keepLines w:val="0"/>
        <w:pageBreakBefore w:val="0"/>
        <w:widowControl w:val="0"/>
        <w:kinsoku/>
        <w:overflowPunct/>
        <w:autoSpaceDE/>
        <w:autoSpaceDN/>
        <w:bidi w:val="0"/>
        <w:spacing w:line="520" w:lineRule="exact"/>
        <w:ind w:leftChars="0" w:firstLine="482" w:firstLineChars="200"/>
        <w:textAlignment w:val="auto"/>
        <w:rPr>
          <w:rFonts w:hint="default" w:asciiTheme="minorEastAsia" w:hAnsiTheme="minorEastAsia" w:eastAsiaTheme="minorEastAsia" w:cstheme="minorEastAsia"/>
          <w:color w:val="auto"/>
          <w:kern w:val="0"/>
          <w:sz w:val="24"/>
          <w:szCs w:val="24"/>
          <w:highlight w:val="none"/>
          <w:lang w:val="en-US" w:eastAsia="zh-CN"/>
        </w:rPr>
      </w:pPr>
      <w:bookmarkStart w:id="1173" w:name="_Toc8919"/>
      <w:bookmarkStart w:id="1174" w:name="_Toc1415"/>
      <w:r>
        <w:rPr>
          <w:rFonts w:hint="eastAsia"/>
          <w:color w:val="auto"/>
          <w:highlight w:val="none"/>
          <w:lang w:val="en-US" w:eastAsia="zh-CN"/>
        </w:rPr>
        <w:t>★</w:t>
      </w:r>
      <w:r>
        <w:rPr>
          <w:rFonts w:hint="eastAsia" w:asciiTheme="minorEastAsia" w:hAnsiTheme="minorEastAsia" w:eastAsiaTheme="minorEastAsia" w:cstheme="minorEastAsia"/>
          <w:color w:val="auto"/>
          <w:kern w:val="0"/>
          <w:sz w:val="24"/>
          <w:szCs w:val="24"/>
          <w:highlight w:val="none"/>
          <w:lang w:val="en-US" w:eastAsia="zh-CN"/>
        </w:rPr>
        <w:t>履约保证金</w:t>
      </w:r>
      <w:bookmarkEnd w:id="1173"/>
      <w:bookmarkEnd w:id="1174"/>
    </w:p>
    <w:p>
      <w:pPr>
        <w:pStyle w:val="30"/>
        <w:keepNext w:val="0"/>
        <w:keepLines w:val="0"/>
        <w:pageBreakBefore w:val="0"/>
        <w:widowControl w:val="0"/>
        <w:numPr>
          <w:ilvl w:val="4"/>
          <w:numId w:val="0"/>
        </w:numPr>
        <w:kinsoku/>
        <w:wordWrap/>
        <w:overflowPunct/>
        <w:topLinePunct w:val="0"/>
        <w:autoSpaceDE/>
        <w:autoSpaceDN/>
        <w:bidi w:val="0"/>
        <w:adjustRightInd w:val="0"/>
        <w:snapToGrid w:val="0"/>
        <w:spacing w:before="0" w:after="0" w:line="520" w:lineRule="exact"/>
        <w:ind w:lef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1.履约保证金为合同金额的百分之五，投标人应在中标通知书发出之日起至合同签订前以银行转账、支票、汇票、本票等非现金形式向采购人提交履约保证金。</w:t>
      </w:r>
    </w:p>
    <w:p>
      <w:pPr>
        <w:pStyle w:val="30"/>
        <w:keepNext w:val="0"/>
        <w:keepLines w:val="0"/>
        <w:pageBreakBefore w:val="0"/>
        <w:widowControl w:val="0"/>
        <w:numPr>
          <w:ilvl w:val="4"/>
          <w:numId w:val="0"/>
        </w:numPr>
        <w:kinsoku/>
        <w:wordWrap/>
        <w:overflowPunct/>
        <w:topLinePunct w:val="0"/>
        <w:autoSpaceDE/>
        <w:autoSpaceDN/>
        <w:bidi w:val="0"/>
        <w:adjustRightInd w:val="0"/>
        <w:snapToGrid w:val="0"/>
        <w:spacing w:before="0" w:after="0" w:line="520" w:lineRule="exact"/>
        <w:ind w:lef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2.履行合同约定完毕(含售后服务)，且验收合格后，10个日历天内无息退还投标人应退部分履约保证金。因采购人原因逾期退还的，应当以未退还金额为基数，按合同订立时1年期贷款市场报价利率标准向投标人支付相应违约金，但违约金最高不得超过未退还金额的百分之十。若因投标人不及时或未提供“履约保证金的收据”、“履约保证金退还申请”的，则采购人不承担逾期退还违约责任。</w:t>
      </w:r>
    </w:p>
    <w:p>
      <w:pPr>
        <w:pStyle w:val="30"/>
        <w:keepNext w:val="0"/>
        <w:keepLines w:val="0"/>
        <w:pageBreakBefore w:val="0"/>
        <w:widowControl w:val="0"/>
        <w:numPr>
          <w:ilvl w:val="4"/>
          <w:numId w:val="0"/>
        </w:numPr>
        <w:kinsoku/>
        <w:wordWrap/>
        <w:overflowPunct/>
        <w:topLinePunct w:val="0"/>
        <w:autoSpaceDE/>
        <w:autoSpaceDN/>
        <w:bidi w:val="0"/>
        <w:adjustRightInd w:val="0"/>
        <w:snapToGrid w:val="0"/>
        <w:spacing w:before="0" w:after="0" w:line="520" w:lineRule="exact"/>
        <w:ind w:lef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3.履约保证金汇入的银行及账号：</w:t>
      </w:r>
    </w:p>
    <w:p>
      <w:pPr>
        <w:pStyle w:val="30"/>
        <w:keepNext w:val="0"/>
        <w:keepLines w:val="0"/>
        <w:pageBreakBefore w:val="0"/>
        <w:widowControl w:val="0"/>
        <w:numPr>
          <w:ilvl w:val="4"/>
          <w:numId w:val="0"/>
        </w:numPr>
        <w:kinsoku/>
        <w:wordWrap/>
        <w:overflowPunct/>
        <w:topLinePunct w:val="0"/>
        <w:autoSpaceDE/>
        <w:autoSpaceDN/>
        <w:bidi w:val="0"/>
        <w:adjustRightInd w:val="0"/>
        <w:snapToGrid w:val="0"/>
        <w:spacing w:before="0" w:after="0" w:line="520" w:lineRule="exact"/>
        <w:ind w:lef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收款账号：成都市技师学院</w:t>
      </w:r>
    </w:p>
    <w:p>
      <w:pPr>
        <w:pStyle w:val="30"/>
        <w:keepNext w:val="0"/>
        <w:keepLines w:val="0"/>
        <w:pageBreakBefore w:val="0"/>
        <w:widowControl w:val="0"/>
        <w:numPr>
          <w:ilvl w:val="4"/>
          <w:numId w:val="0"/>
        </w:numPr>
        <w:kinsoku/>
        <w:wordWrap/>
        <w:overflowPunct/>
        <w:topLinePunct w:val="0"/>
        <w:autoSpaceDE/>
        <w:autoSpaceDN/>
        <w:bidi w:val="0"/>
        <w:adjustRightInd w:val="0"/>
        <w:snapToGrid w:val="0"/>
        <w:spacing w:before="0" w:after="0" w:line="520" w:lineRule="exact"/>
        <w:ind w:lef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开户行：工行四川成都分行郫都红光支行</w:t>
      </w:r>
    </w:p>
    <w:p>
      <w:pPr>
        <w:pStyle w:val="30"/>
        <w:keepNext w:val="0"/>
        <w:keepLines w:val="0"/>
        <w:pageBreakBefore w:val="0"/>
        <w:widowControl w:val="0"/>
        <w:numPr>
          <w:ilvl w:val="4"/>
          <w:numId w:val="0"/>
        </w:numPr>
        <w:kinsoku/>
        <w:wordWrap/>
        <w:overflowPunct/>
        <w:topLinePunct w:val="0"/>
        <w:autoSpaceDE/>
        <w:autoSpaceDN/>
        <w:bidi w:val="0"/>
        <w:adjustRightInd w:val="0"/>
        <w:snapToGrid w:val="0"/>
        <w:spacing w:before="0" w:after="0" w:line="520" w:lineRule="exact"/>
        <w:ind w:lef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银行账号：4402054609100031151</w:t>
      </w:r>
    </w:p>
    <w:p>
      <w:pPr>
        <w:pStyle w:val="30"/>
        <w:keepNext w:val="0"/>
        <w:keepLines w:val="0"/>
        <w:pageBreakBefore w:val="0"/>
        <w:widowControl w:val="0"/>
        <w:numPr>
          <w:ilvl w:val="4"/>
          <w:numId w:val="0"/>
        </w:numPr>
        <w:kinsoku/>
        <w:wordWrap/>
        <w:overflowPunct/>
        <w:topLinePunct w:val="0"/>
        <w:autoSpaceDE/>
        <w:autoSpaceDN/>
        <w:bidi w:val="0"/>
        <w:adjustRightInd w:val="0"/>
        <w:snapToGrid w:val="0"/>
        <w:spacing w:before="0" w:after="0" w:line="520" w:lineRule="exact"/>
        <w:ind w:leftChars="0" w:firstLine="480" w:firstLineChars="200"/>
        <w:textAlignment w:val="auto"/>
        <w:outlineLvl w:val="9"/>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4.履约保证金不予退还情形：一是投标人未按合同要求履行的，其履约保证金全部扣除；二是投标人缴纳了履约保证金，但因自身原因被取消中标资格或在中标公示期满之日起30个日历天(含法定节假日)内不按招标文件确定的事项与采购人签订合同的，其履约保证金不予退还；三是法律法规或合同约定的其它情形。</w:t>
      </w:r>
    </w:p>
    <w:p>
      <w:pPr>
        <w:pStyle w:val="36"/>
        <w:keepNext w:val="0"/>
        <w:keepLines w:val="0"/>
        <w:pageBreakBefore w:val="0"/>
        <w:widowControl w:val="0"/>
        <w:kinsoku/>
        <w:overflowPunct/>
        <w:autoSpaceDE/>
        <w:autoSpaceDN/>
        <w:bidi w:val="0"/>
        <w:spacing w:line="520" w:lineRule="exact"/>
        <w:ind w:leftChars="0" w:firstLine="482" w:firstLineChars="200"/>
        <w:textAlignment w:val="auto"/>
        <w:rPr>
          <w:rFonts w:hint="eastAsia"/>
          <w:color w:val="auto"/>
          <w:highlight w:val="none"/>
          <w:lang w:val="en-US" w:eastAsia="zh-CN"/>
        </w:rPr>
      </w:pPr>
      <w:bookmarkStart w:id="1175" w:name="_Toc14622"/>
      <w:r>
        <w:rPr>
          <w:rFonts w:hint="eastAsia"/>
          <w:color w:val="auto"/>
          <w:highlight w:val="none"/>
          <w:lang w:val="en-US" w:eastAsia="zh-CN"/>
        </w:rPr>
        <w:t>投标样品</w:t>
      </w:r>
      <w:bookmarkEnd w:id="1121"/>
      <w:bookmarkEnd w:id="1122"/>
      <w:bookmarkEnd w:id="1123"/>
      <w:bookmarkEnd w:id="1124"/>
      <w:r>
        <w:rPr>
          <w:rFonts w:hint="eastAsia"/>
          <w:color w:val="auto"/>
          <w:highlight w:val="none"/>
          <w:lang w:val="en-US" w:eastAsia="zh-CN"/>
        </w:rPr>
        <w:t>要求</w:t>
      </w:r>
      <w:bookmarkEnd w:id="1125"/>
      <w:bookmarkEnd w:id="1126"/>
      <w:bookmarkEnd w:id="1175"/>
    </w:p>
    <w:p>
      <w:pPr>
        <w:pStyle w:val="51"/>
        <w:keepNext w:val="0"/>
        <w:keepLines w:val="0"/>
        <w:pageBreakBefore w:val="0"/>
        <w:widowControl w:val="0"/>
        <w:numPr>
          <w:ilvl w:val="2"/>
          <w:numId w:val="33"/>
        </w:numPr>
        <w:kinsoku/>
        <w:overflowPunct/>
        <w:autoSpaceDE/>
        <w:autoSpaceDN/>
        <w:bidi w:val="0"/>
        <w:spacing w:line="520" w:lineRule="exact"/>
        <w:ind w:leftChars="0" w:firstLine="482" w:firstLineChars="200"/>
        <w:textAlignment w:val="auto"/>
        <w:rPr>
          <w:rFonts w:hint="eastAsia"/>
          <w:color w:val="auto"/>
          <w:highlight w:val="none"/>
        </w:rPr>
      </w:pPr>
      <w:bookmarkStart w:id="1176" w:name="_Toc6090"/>
      <w:bookmarkStart w:id="1177" w:name="_Toc11765"/>
      <w:bookmarkStart w:id="1178" w:name="_Toc8538"/>
      <w:r>
        <w:rPr>
          <w:rFonts w:hint="eastAsia"/>
          <w:color w:val="auto"/>
          <w:highlight w:val="none"/>
        </w:rPr>
        <w:t>样品清单</w:t>
      </w:r>
      <w:bookmarkEnd w:id="1176"/>
      <w:bookmarkEnd w:id="1177"/>
      <w:bookmarkEnd w:id="1178"/>
    </w:p>
    <w:tbl>
      <w:tblPr>
        <w:tblStyle w:val="24"/>
        <w:tblW w:w="9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2048"/>
        <w:gridCol w:w="3352"/>
        <w:gridCol w:w="1337"/>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190"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r>
              <w:rPr>
                <w:rFonts w:hint="eastAsia"/>
                <w:color w:val="auto"/>
                <w:sz w:val="21"/>
                <w:szCs w:val="21"/>
                <w:highlight w:val="none"/>
                <w:lang w:val="en-US" w:eastAsia="zh-CN"/>
              </w:rPr>
              <w:t>序号</w:t>
            </w:r>
          </w:p>
        </w:tc>
        <w:tc>
          <w:tcPr>
            <w:tcW w:w="2048"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r>
              <w:rPr>
                <w:rFonts w:hint="eastAsia"/>
                <w:color w:val="auto"/>
                <w:sz w:val="21"/>
                <w:szCs w:val="21"/>
                <w:highlight w:val="none"/>
                <w:lang w:val="en-US" w:eastAsia="zh-CN"/>
              </w:rPr>
              <w:t>名称</w:t>
            </w:r>
          </w:p>
        </w:tc>
        <w:tc>
          <w:tcPr>
            <w:tcW w:w="3352"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r>
              <w:rPr>
                <w:rFonts w:hint="eastAsia"/>
                <w:color w:val="auto"/>
                <w:sz w:val="21"/>
                <w:szCs w:val="21"/>
                <w:highlight w:val="none"/>
                <w:lang w:eastAsia="zh-CN"/>
              </w:rPr>
              <w:t>技术参数及</w:t>
            </w:r>
            <w:r>
              <w:rPr>
                <w:rFonts w:hint="eastAsia"/>
                <w:color w:val="auto"/>
                <w:sz w:val="21"/>
                <w:szCs w:val="21"/>
                <w:highlight w:val="none"/>
                <w:lang w:val="en-US" w:eastAsia="zh-CN"/>
              </w:rPr>
              <w:t>配置</w:t>
            </w:r>
            <w:r>
              <w:rPr>
                <w:rFonts w:hint="eastAsia"/>
                <w:color w:val="auto"/>
                <w:sz w:val="21"/>
                <w:szCs w:val="21"/>
                <w:highlight w:val="none"/>
                <w:lang w:eastAsia="zh-CN"/>
              </w:rPr>
              <w:t>要求</w:t>
            </w:r>
          </w:p>
        </w:tc>
        <w:tc>
          <w:tcPr>
            <w:tcW w:w="1337"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r>
              <w:rPr>
                <w:rFonts w:hint="eastAsia"/>
                <w:color w:val="auto"/>
                <w:sz w:val="21"/>
                <w:szCs w:val="21"/>
                <w:highlight w:val="none"/>
                <w:lang w:val="en-US" w:eastAsia="zh-CN"/>
              </w:rPr>
              <w:t>数量</w:t>
            </w:r>
          </w:p>
        </w:tc>
        <w:tc>
          <w:tcPr>
            <w:tcW w:w="1169" w:type="dxa"/>
            <w:vAlign w:val="center"/>
          </w:tcPr>
          <w:p>
            <w:pPr>
              <w:pStyle w:val="47"/>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r>
              <w:rPr>
                <w:rFonts w:hint="eastAsia"/>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highlight w:val="none"/>
                <w:lang w:eastAsia="zh-CN"/>
              </w:rPr>
            </w:pPr>
            <w:r>
              <w:rPr>
                <w:rFonts w:hint="eastAsia" w:ascii="宋体" w:hAnsi="宋体" w:eastAsia="宋体" w:cs="宋体"/>
                <w:color w:val="auto"/>
                <w:sz w:val="21"/>
                <w:szCs w:val="21"/>
                <w:highlight w:val="none"/>
              </w:rPr>
              <w:t>1</w:t>
            </w:r>
          </w:p>
        </w:tc>
        <w:tc>
          <w:tcPr>
            <w:tcW w:w="2048" w:type="dxa"/>
            <w:vAlign w:val="center"/>
          </w:tcPr>
          <w:p>
            <w:pPr>
              <w:spacing w:line="360" w:lineRule="exact"/>
              <w:ind w:firstLine="0" w:firstLineChars="0"/>
              <w:jc w:val="center"/>
              <w:rPr>
                <w:rFonts w:hint="default" w:eastAsia="宋体"/>
                <w:color w:val="auto"/>
                <w:sz w:val="21"/>
                <w:szCs w:val="21"/>
                <w:highlight w:val="none"/>
                <w:lang w:val="en-US" w:eastAsia="zh-CN"/>
              </w:rPr>
            </w:pPr>
            <w:r>
              <w:rPr>
                <w:rFonts w:hint="eastAsia" w:cs="宋体"/>
                <w:sz w:val="21"/>
                <w:szCs w:val="21"/>
                <w:highlight w:val="none"/>
              </w:rPr>
              <w:t>A1工装套装(男)</w:t>
            </w:r>
          </w:p>
        </w:tc>
        <w:tc>
          <w:tcPr>
            <w:tcW w:w="3352" w:type="dxa"/>
            <w:vMerge w:val="restart"/>
            <w:vAlign w:val="center"/>
          </w:tcPr>
          <w:p>
            <w:pPr>
              <w:pStyle w:val="44"/>
              <w:keepNext w:val="0"/>
              <w:keepLines w:val="0"/>
              <w:pageBreakBefore w:val="0"/>
              <w:widowControl w:val="0"/>
              <w:numPr>
                <w:ilvl w:val="0"/>
                <w:numId w:val="34"/>
              </w:numPr>
              <w:tabs>
                <w:tab w:val="clear" w:pos="312"/>
              </w:tabs>
              <w:kinsoku/>
              <w:wordWrap w:val="0"/>
              <w:overflowPunct/>
              <w:topLinePunct/>
              <w:autoSpaceDE/>
              <w:autoSpaceDN/>
              <w:bidi w:val="0"/>
              <w:adjustRightInd w:val="0"/>
              <w:snapToGrid w:val="0"/>
              <w:spacing w:line="360" w:lineRule="exact"/>
              <w:jc w:val="left"/>
              <w:textAlignment w:val="auto"/>
              <w:rPr>
                <w:rFonts w:hint="eastAsia"/>
                <w:color w:val="auto"/>
                <w:sz w:val="21"/>
                <w:szCs w:val="21"/>
                <w:highlight w:val="none"/>
                <w:lang w:val="en-US" w:eastAsia="zh-CN"/>
              </w:rPr>
            </w:pPr>
            <w:r>
              <w:rPr>
                <w:rFonts w:hint="eastAsia"/>
                <w:color w:val="auto"/>
                <w:sz w:val="21"/>
                <w:szCs w:val="21"/>
                <w:highlight w:val="none"/>
                <w:lang w:val="en-US" w:eastAsia="zh-CN"/>
              </w:rPr>
              <w:t>按照招标文件第六章“三、技术参数及配置要求”；</w:t>
            </w:r>
          </w:p>
          <w:p>
            <w:pPr>
              <w:pStyle w:val="44"/>
              <w:keepNext w:val="0"/>
              <w:keepLines w:val="0"/>
              <w:pageBreakBefore w:val="0"/>
              <w:widowControl w:val="0"/>
              <w:numPr>
                <w:ilvl w:val="0"/>
                <w:numId w:val="34"/>
              </w:numPr>
              <w:tabs>
                <w:tab w:val="clear" w:pos="312"/>
              </w:tabs>
              <w:kinsoku/>
              <w:wordWrap w:val="0"/>
              <w:overflowPunct/>
              <w:topLinePunct/>
              <w:autoSpaceDE/>
              <w:autoSpaceDN/>
              <w:bidi w:val="0"/>
              <w:adjustRightInd w:val="0"/>
              <w:snapToGrid w:val="0"/>
              <w:spacing w:line="360" w:lineRule="exact"/>
              <w:jc w:val="left"/>
              <w:textAlignment w:val="auto"/>
              <w:rPr>
                <w:rFonts w:hint="default"/>
                <w:color w:val="auto"/>
                <w:sz w:val="21"/>
                <w:szCs w:val="21"/>
                <w:highlight w:val="none"/>
                <w:lang w:val="en-US" w:eastAsia="zh-CN"/>
              </w:rPr>
            </w:pPr>
            <w:r>
              <w:rPr>
                <w:rFonts w:hint="default"/>
                <w:color w:val="auto"/>
                <w:sz w:val="21"/>
                <w:szCs w:val="21"/>
                <w:highlight w:val="none"/>
                <w:lang w:val="en-US" w:eastAsia="zh-CN"/>
              </w:rPr>
              <w:t>男式：175A</w:t>
            </w:r>
            <w:r>
              <w:rPr>
                <w:rFonts w:hint="eastAsia"/>
                <w:color w:val="auto"/>
                <w:sz w:val="21"/>
                <w:szCs w:val="21"/>
                <w:highlight w:val="none"/>
                <w:lang w:val="en-US" w:eastAsia="zh-CN"/>
              </w:rPr>
              <w:t>，</w:t>
            </w:r>
            <w:r>
              <w:rPr>
                <w:rFonts w:hint="default"/>
                <w:color w:val="auto"/>
                <w:sz w:val="21"/>
                <w:szCs w:val="21"/>
                <w:highlight w:val="none"/>
                <w:lang w:val="en-US" w:eastAsia="zh-CN"/>
              </w:rPr>
              <w:t>女式：165A</w:t>
            </w:r>
            <w:r>
              <w:rPr>
                <w:rFonts w:hint="eastAsia"/>
                <w:color w:val="auto"/>
                <w:sz w:val="21"/>
                <w:szCs w:val="21"/>
                <w:highlight w:val="none"/>
                <w:lang w:val="en-US" w:eastAsia="zh-CN"/>
              </w:rPr>
              <w:t>；</w:t>
            </w:r>
          </w:p>
          <w:p>
            <w:pPr>
              <w:pStyle w:val="44"/>
              <w:keepNext w:val="0"/>
              <w:keepLines w:val="0"/>
              <w:pageBreakBefore w:val="0"/>
              <w:widowControl w:val="0"/>
              <w:numPr>
                <w:ilvl w:val="0"/>
                <w:numId w:val="34"/>
              </w:numPr>
              <w:tabs>
                <w:tab w:val="clear" w:pos="312"/>
              </w:tabs>
              <w:kinsoku/>
              <w:wordWrap w:val="0"/>
              <w:overflowPunct/>
              <w:topLinePunct/>
              <w:autoSpaceDE/>
              <w:autoSpaceDN/>
              <w:bidi w:val="0"/>
              <w:adjustRightInd w:val="0"/>
              <w:snapToGrid w:val="0"/>
              <w:spacing w:line="360" w:lineRule="exact"/>
              <w:jc w:val="left"/>
              <w:textAlignment w:val="auto"/>
              <w:rPr>
                <w:rFonts w:hint="default"/>
                <w:color w:val="auto"/>
                <w:sz w:val="21"/>
                <w:szCs w:val="21"/>
                <w:highlight w:val="none"/>
                <w:lang w:val="en-US" w:eastAsia="zh-CN"/>
              </w:rPr>
            </w:pPr>
            <w:r>
              <w:rPr>
                <w:rFonts w:hint="default"/>
                <w:color w:val="auto"/>
                <w:sz w:val="21"/>
                <w:szCs w:val="21"/>
                <w:highlight w:val="none"/>
                <w:lang w:val="en-US" w:eastAsia="zh-CN"/>
              </w:rPr>
              <w:t>LOGO</w:t>
            </w:r>
            <w:r>
              <w:rPr>
                <w:rFonts w:hint="eastAsia"/>
                <w:color w:val="auto"/>
                <w:sz w:val="21"/>
                <w:szCs w:val="21"/>
                <w:highlight w:val="none"/>
                <w:lang w:val="en-US" w:eastAsia="zh-CN"/>
              </w:rPr>
              <w:t>要求：A1以</w:t>
            </w:r>
            <w:r>
              <w:rPr>
                <w:rFonts w:hint="default"/>
                <w:color w:val="auto"/>
                <w:sz w:val="21"/>
                <w:szCs w:val="21"/>
                <w:highlight w:val="none"/>
                <w:lang w:val="en-US" w:eastAsia="zh-CN"/>
              </w:rPr>
              <w:t>机械工程学院，</w:t>
            </w:r>
            <w:r>
              <w:rPr>
                <w:rFonts w:hint="eastAsia"/>
                <w:color w:val="auto"/>
                <w:sz w:val="21"/>
                <w:szCs w:val="21"/>
                <w:highlight w:val="none"/>
                <w:lang w:val="en-US" w:eastAsia="zh-CN"/>
              </w:rPr>
              <w:t>B1以</w:t>
            </w:r>
            <w:r>
              <w:rPr>
                <w:rFonts w:hint="default"/>
                <w:color w:val="auto"/>
                <w:sz w:val="21"/>
                <w:szCs w:val="21"/>
                <w:highlight w:val="none"/>
                <w:lang w:val="en-US" w:eastAsia="zh-CN"/>
              </w:rPr>
              <w:t>轨道交通学院来做样品</w:t>
            </w:r>
            <w:r>
              <w:rPr>
                <w:rFonts w:hint="eastAsia"/>
                <w:color w:val="auto"/>
                <w:sz w:val="21"/>
                <w:szCs w:val="21"/>
                <w:highlight w:val="none"/>
                <w:lang w:val="en-US" w:eastAsia="zh-CN"/>
              </w:rPr>
              <w:t>。</w:t>
            </w:r>
          </w:p>
        </w:tc>
        <w:tc>
          <w:tcPr>
            <w:tcW w:w="1337"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1套</w:t>
            </w:r>
          </w:p>
        </w:tc>
        <w:tc>
          <w:tcPr>
            <w:tcW w:w="1169"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highlight w:val="none"/>
                <w:lang w:eastAsia="zh-CN"/>
              </w:rPr>
            </w:pPr>
            <w:r>
              <w:rPr>
                <w:rFonts w:hint="eastAsia" w:ascii="宋体" w:hAnsi="宋体" w:eastAsia="宋体" w:cs="宋体"/>
                <w:color w:val="auto"/>
                <w:sz w:val="21"/>
                <w:szCs w:val="21"/>
                <w:highlight w:val="none"/>
              </w:rPr>
              <w:t>2</w:t>
            </w:r>
          </w:p>
        </w:tc>
        <w:tc>
          <w:tcPr>
            <w:tcW w:w="2048" w:type="dxa"/>
            <w:vAlign w:val="center"/>
          </w:tcPr>
          <w:p>
            <w:pPr>
              <w:spacing w:line="360" w:lineRule="exact"/>
              <w:ind w:firstLine="0" w:firstLineChars="0"/>
              <w:jc w:val="center"/>
              <w:rPr>
                <w:rFonts w:hint="default" w:eastAsia="宋体"/>
                <w:color w:val="auto"/>
                <w:sz w:val="21"/>
                <w:szCs w:val="21"/>
                <w:highlight w:val="none"/>
                <w:lang w:val="en-US" w:eastAsia="zh-CN"/>
              </w:rPr>
            </w:pPr>
            <w:r>
              <w:rPr>
                <w:rFonts w:hint="eastAsia" w:ascii="宋体" w:hAnsi="宋体" w:eastAsia="宋体" w:cs="Times New Roman"/>
                <w:kern w:val="2"/>
                <w:sz w:val="21"/>
                <w:szCs w:val="21"/>
                <w:highlight w:val="none"/>
                <w:lang w:val="en-US" w:eastAsia="zh-CN" w:bidi="ar-SA"/>
              </w:rPr>
              <w:t>A2西装套装(男)</w:t>
            </w:r>
          </w:p>
        </w:tc>
        <w:tc>
          <w:tcPr>
            <w:tcW w:w="3352" w:type="dxa"/>
            <w:vMerge w:val="continue"/>
            <w:vAlign w:val="center"/>
          </w:tcPr>
          <w:p>
            <w:pPr>
              <w:pStyle w:val="44"/>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p>
        </w:tc>
        <w:tc>
          <w:tcPr>
            <w:tcW w:w="1337" w:type="dxa"/>
            <w:vAlign w:val="center"/>
          </w:tcPr>
          <w:p>
            <w:pPr>
              <w:keepNext w:val="0"/>
              <w:keepLines w:val="0"/>
              <w:pageBreakBefore w:val="0"/>
              <w:widowControl w:val="0"/>
              <w:kinsoku/>
              <w:wordWrap w:val="0"/>
              <w:overflowPunct/>
              <w:topLinePunct/>
              <w:autoSpaceDE/>
              <w:autoSpaceDN/>
              <w:bidi w:val="0"/>
              <w:adjustRightInd w:val="0"/>
              <w:snapToGrid w:val="0"/>
              <w:spacing w:line="360" w:lineRule="exact"/>
              <w:ind w:firstLine="0" w:firstLineChars="0"/>
              <w:jc w:val="center"/>
              <w:textAlignment w:val="auto"/>
              <w:rPr>
                <w:rFonts w:hint="eastAsia"/>
                <w:color w:val="auto"/>
                <w:sz w:val="21"/>
                <w:szCs w:val="21"/>
                <w:highlight w:val="none"/>
                <w:lang w:eastAsia="zh-CN"/>
              </w:rPr>
            </w:pPr>
            <w:r>
              <w:rPr>
                <w:rFonts w:hint="eastAsia"/>
                <w:color w:val="auto"/>
                <w:sz w:val="21"/>
                <w:szCs w:val="21"/>
                <w:highlight w:val="none"/>
                <w:lang w:val="en-US" w:eastAsia="zh-CN"/>
              </w:rPr>
              <w:t>1套</w:t>
            </w:r>
          </w:p>
        </w:tc>
        <w:tc>
          <w:tcPr>
            <w:tcW w:w="1169"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highlight w:val="none"/>
                <w:lang w:eastAsia="zh-CN"/>
              </w:rPr>
            </w:pPr>
            <w:r>
              <w:rPr>
                <w:rFonts w:hint="eastAsia" w:ascii="宋体" w:hAnsi="宋体" w:eastAsia="宋体" w:cs="宋体"/>
                <w:color w:val="auto"/>
                <w:sz w:val="21"/>
                <w:szCs w:val="21"/>
                <w:highlight w:val="none"/>
              </w:rPr>
              <w:t>3</w:t>
            </w:r>
          </w:p>
        </w:tc>
        <w:tc>
          <w:tcPr>
            <w:tcW w:w="2048" w:type="dxa"/>
            <w:vAlign w:val="center"/>
          </w:tcPr>
          <w:p>
            <w:pPr>
              <w:spacing w:line="360" w:lineRule="exact"/>
              <w:ind w:firstLine="0" w:firstLineChars="0"/>
              <w:jc w:val="center"/>
              <w:rPr>
                <w:rFonts w:hint="eastAsia"/>
                <w:color w:val="auto"/>
                <w:sz w:val="21"/>
                <w:szCs w:val="21"/>
                <w:highlight w:val="none"/>
                <w:lang w:eastAsia="zh-CN"/>
              </w:rPr>
            </w:pPr>
            <w:r>
              <w:rPr>
                <w:rFonts w:hint="eastAsia" w:ascii="宋体" w:hAnsi="宋体" w:eastAsia="宋体" w:cs="Times New Roman"/>
                <w:kern w:val="2"/>
                <w:sz w:val="21"/>
                <w:szCs w:val="21"/>
                <w:highlight w:val="none"/>
                <w:lang w:val="en-US" w:eastAsia="zh-CN" w:bidi="ar-SA"/>
              </w:rPr>
              <w:t>B1工装套装(女)</w:t>
            </w:r>
          </w:p>
        </w:tc>
        <w:tc>
          <w:tcPr>
            <w:tcW w:w="3352" w:type="dxa"/>
            <w:vMerge w:val="continue"/>
            <w:vAlign w:val="center"/>
          </w:tcPr>
          <w:p>
            <w:pPr>
              <w:pStyle w:val="44"/>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p>
        </w:tc>
        <w:tc>
          <w:tcPr>
            <w:tcW w:w="1337" w:type="dxa"/>
            <w:vAlign w:val="center"/>
          </w:tcPr>
          <w:p>
            <w:pPr>
              <w:keepNext w:val="0"/>
              <w:keepLines w:val="0"/>
              <w:pageBreakBefore w:val="0"/>
              <w:widowControl w:val="0"/>
              <w:kinsoku/>
              <w:wordWrap w:val="0"/>
              <w:overflowPunct/>
              <w:topLinePunct/>
              <w:autoSpaceDE/>
              <w:autoSpaceDN/>
              <w:bidi w:val="0"/>
              <w:adjustRightInd w:val="0"/>
              <w:snapToGrid w:val="0"/>
              <w:spacing w:line="360" w:lineRule="exact"/>
              <w:ind w:firstLine="0" w:firstLineChars="0"/>
              <w:jc w:val="center"/>
              <w:textAlignment w:val="auto"/>
              <w:rPr>
                <w:rFonts w:hint="eastAsia"/>
                <w:color w:val="auto"/>
                <w:sz w:val="21"/>
                <w:szCs w:val="21"/>
                <w:highlight w:val="none"/>
                <w:lang w:eastAsia="zh-CN"/>
              </w:rPr>
            </w:pPr>
            <w:r>
              <w:rPr>
                <w:rFonts w:hint="eastAsia"/>
                <w:color w:val="auto"/>
                <w:sz w:val="21"/>
                <w:szCs w:val="21"/>
                <w:highlight w:val="none"/>
                <w:lang w:val="en-US" w:eastAsia="zh-CN"/>
              </w:rPr>
              <w:t>1套</w:t>
            </w:r>
          </w:p>
        </w:tc>
        <w:tc>
          <w:tcPr>
            <w:tcW w:w="1169"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0"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highlight w:val="none"/>
                <w:lang w:eastAsia="zh-CN"/>
              </w:rPr>
            </w:pPr>
            <w:r>
              <w:rPr>
                <w:rFonts w:hint="eastAsia" w:ascii="宋体" w:hAnsi="宋体" w:eastAsia="宋体" w:cs="宋体"/>
                <w:color w:val="auto"/>
                <w:sz w:val="21"/>
                <w:szCs w:val="21"/>
                <w:highlight w:val="none"/>
              </w:rPr>
              <w:t>4</w:t>
            </w:r>
          </w:p>
        </w:tc>
        <w:tc>
          <w:tcPr>
            <w:tcW w:w="2048" w:type="dxa"/>
            <w:vAlign w:val="center"/>
          </w:tcPr>
          <w:p>
            <w:pPr>
              <w:spacing w:line="360" w:lineRule="exact"/>
              <w:ind w:firstLine="0" w:firstLineChars="0"/>
              <w:jc w:val="center"/>
              <w:rPr>
                <w:rFonts w:hint="eastAsia"/>
                <w:color w:val="auto"/>
                <w:sz w:val="21"/>
                <w:szCs w:val="21"/>
                <w:highlight w:val="none"/>
                <w:lang w:eastAsia="zh-CN"/>
              </w:rPr>
            </w:pPr>
            <w:r>
              <w:rPr>
                <w:rFonts w:hint="eastAsia" w:ascii="宋体" w:hAnsi="宋体" w:eastAsia="宋体" w:cs="Times New Roman"/>
                <w:kern w:val="2"/>
                <w:sz w:val="21"/>
                <w:szCs w:val="21"/>
                <w:highlight w:val="none"/>
                <w:lang w:val="en-US" w:eastAsia="zh-CN" w:bidi="ar-SA"/>
              </w:rPr>
              <w:t>B2西服套装(女)</w:t>
            </w:r>
          </w:p>
        </w:tc>
        <w:tc>
          <w:tcPr>
            <w:tcW w:w="3352" w:type="dxa"/>
            <w:vMerge w:val="continue"/>
            <w:vAlign w:val="center"/>
          </w:tcPr>
          <w:p>
            <w:pPr>
              <w:pStyle w:val="44"/>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p>
        </w:tc>
        <w:tc>
          <w:tcPr>
            <w:tcW w:w="1337" w:type="dxa"/>
            <w:vAlign w:val="center"/>
          </w:tcPr>
          <w:p>
            <w:pPr>
              <w:keepNext w:val="0"/>
              <w:keepLines w:val="0"/>
              <w:pageBreakBefore w:val="0"/>
              <w:widowControl w:val="0"/>
              <w:kinsoku/>
              <w:wordWrap w:val="0"/>
              <w:overflowPunct/>
              <w:topLinePunct/>
              <w:autoSpaceDE/>
              <w:autoSpaceDN/>
              <w:bidi w:val="0"/>
              <w:adjustRightInd w:val="0"/>
              <w:snapToGrid w:val="0"/>
              <w:spacing w:line="360" w:lineRule="exact"/>
              <w:ind w:firstLine="0" w:firstLineChars="0"/>
              <w:jc w:val="center"/>
              <w:textAlignment w:val="auto"/>
              <w:rPr>
                <w:highlight w:val="none"/>
              </w:rPr>
            </w:pPr>
            <w:r>
              <w:rPr>
                <w:rFonts w:hint="eastAsia"/>
                <w:color w:val="auto"/>
                <w:sz w:val="21"/>
                <w:szCs w:val="21"/>
                <w:highlight w:val="none"/>
                <w:lang w:val="en-US" w:eastAsia="zh-CN"/>
              </w:rPr>
              <w:t>1套</w:t>
            </w:r>
          </w:p>
        </w:tc>
        <w:tc>
          <w:tcPr>
            <w:tcW w:w="1169"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360" w:lineRule="exact"/>
              <w:jc w:val="center"/>
              <w:textAlignment w:val="auto"/>
              <w:rPr>
                <w:rFonts w:hint="eastAsia"/>
                <w:color w:val="auto"/>
                <w:sz w:val="21"/>
                <w:szCs w:val="21"/>
                <w:highlight w:val="none"/>
                <w:lang w:eastAsia="zh-CN"/>
              </w:rPr>
            </w:pPr>
          </w:p>
        </w:tc>
      </w:tr>
    </w:tbl>
    <w:p>
      <w:pPr>
        <w:pStyle w:val="51"/>
        <w:keepNext w:val="0"/>
        <w:keepLines w:val="0"/>
        <w:pageBreakBefore w:val="0"/>
        <w:widowControl w:val="0"/>
        <w:numPr>
          <w:ilvl w:val="2"/>
          <w:numId w:val="33"/>
        </w:numPr>
        <w:kinsoku/>
        <w:overflowPunct/>
        <w:autoSpaceDE/>
        <w:autoSpaceDN/>
        <w:bidi w:val="0"/>
        <w:adjustRightInd w:val="0"/>
        <w:snapToGrid w:val="0"/>
        <w:spacing w:line="520" w:lineRule="exact"/>
        <w:ind w:firstLine="482" w:firstLineChars="200"/>
        <w:textAlignment w:val="auto"/>
        <w:rPr>
          <w:rFonts w:hint="eastAsia"/>
          <w:color w:val="auto"/>
          <w:highlight w:val="none"/>
        </w:rPr>
      </w:pPr>
      <w:bookmarkStart w:id="1179" w:name="_Toc24111"/>
      <w:bookmarkStart w:id="1180" w:name="_Toc21980"/>
      <w:bookmarkStart w:id="1181" w:name="_Toc27456"/>
      <w:r>
        <w:rPr>
          <w:rFonts w:hint="eastAsia"/>
          <w:color w:val="auto"/>
          <w:highlight w:val="none"/>
        </w:rPr>
        <w:t>样品递交</w:t>
      </w:r>
      <w:bookmarkEnd w:id="1179"/>
      <w:bookmarkEnd w:id="1180"/>
      <w:bookmarkEnd w:id="1181"/>
    </w:p>
    <w:p>
      <w:pPr>
        <w:pStyle w:val="65"/>
        <w:keepNext w:val="0"/>
        <w:keepLines w:val="0"/>
        <w:pageBreakBefore w:val="0"/>
        <w:widowControl w:val="0"/>
        <w:numPr>
          <w:ilvl w:val="3"/>
          <w:numId w:val="33"/>
        </w:numPr>
        <w:kinsoku/>
        <w:overflowPunct/>
        <w:autoSpaceDE/>
        <w:autoSpaceDN/>
        <w:bidi w:val="0"/>
        <w:adjustRightInd w:val="0"/>
        <w:snapToGrid w:val="0"/>
        <w:spacing w:line="520" w:lineRule="exact"/>
        <w:ind w:firstLine="480" w:firstLineChars="200"/>
        <w:textAlignment w:val="auto"/>
        <w:rPr>
          <w:rFonts w:hint="eastAsia"/>
          <w:color w:val="auto"/>
          <w:highlight w:val="none"/>
        </w:rPr>
      </w:pPr>
      <w:r>
        <w:rPr>
          <w:rFonts w:hint="eastAsia"/>
          <w:color w:val="auto"/>
          <w:highlight w:val="none"/>
        </w:rPr>
        <w:t>递交截止时间</w:t>
      </w:r>
    </w:p>
    <w:p>
      <w:pPr>
        <w:pStyle w:val="66"/>
        <w:keepNext w:val="0"/>
        <w:keepLines w:val="0"/>
        <w:pageBreakBefore w:val="0"/>
        <w:widowControl w:val="0"/>
        <w:numPr>
          <w:ilvl w:val="4"/>
          <w:numId w:val="33"/>
        </w:numPr>
        <w:kinsoku/>
        <w:overflowPunct/>
        <w:autoSpaceDE/>
        <w:autoSpaceDN/>
        <w:bidi w:val="0"/>
        <w:adjustRightInd w:val="0"/>
        <w:snapToGrid w:val="0"/>
        <w:spacing w:line="520" w:lineRule="exact"/>
        <w:ind w:firstLine="480" w:firstLineChars="200"/>
        <w:textAlignment w:val="auto"/>
        <w:rPr>
          <w:rFonts w:hint="eastAsia"/>
          <w:color w:val="auto"/>
          <w:highlight w:val="none"/>
        </w:rPr>
      </w:pPr>
      <w:r>
        <w:rPr>
          <w:rFonts w:hint="eastAsia"/>
          <w:color w:val="auto"/>
          <w:highlight w:val="none"/>
        </w:rPr>
        <w:t>所有投标人的样品须按时送达。</w:t>
      </w:r>
    </w:p>
    <w:p>
      <w:pPr>
        <w:pStyle w:val="66"/>
        <w:keepNext w:val="0"/>
        <w:keepLines w:val="0"/>
        <w:pageBreakBefore w:val="0"/>
        <w:widowControl w:val="0"/>
        <w:numPr>
          <w:ilvl w:val="4"/>
          <w:numId w:val="33"/>
        </w:numPr>
        <w:kinsoku/>
        <w:overflowPunct/>
        <w:autoSpaceDE/>
        <w:autoSpaceDN/>
        <w:bidi w:val="0"/>
        <w:adjustRightInd w:val="0"/>
        <w:snapToGrid w:val="0"/>
        <w:spacing w:line="520" w:lineRule="exact"/>
        <w:ind w:firstLine="480" w:firstLineChars="200"/>
        <w:textAlignment w:val="auto"/>
        <w:rPr>
          <w:rFonts w:hint="eastAsia"/>
          <w:color w:val="auto"/>
          <w:highlight w:val="none"/>
        </w:rPr>
      </w:pPr>
      <w:r>
        <w:rPr>
          <w:rFonts w:hint="eastAsia"/>
          <w:color w:val="auto"/>
          <w:highlight w:val="none"/>
        </w:rPr>
        <w:t>样品递交时间：同投标文件递交起止时间。</w:t>
      </w:r>
    </w:p>
    <w:p>
      <w:pPr>
        <w:pStyle w:val="65"/>
        <w:keepNext w:val="0"/>
        <w:keepLines w:val="0"/>
        <w:pageBreakBefore w:val="0"/>
        <w:widowControl w:val="0"/>
        <w:numPr>
          <w:ilvl w:val="3"/>
          <w:numId w:val="33"/>
        </w:numPr>
        <w:kinsoku/>
        <w:overflowPunct/>
        <w:autoSpaceDE/>
        <w:autoSpaceDN/>
        <w:bidi w:val="0"/>
        <w:adjustRightInd w:val="0"/>
        <w:snapToGrid w:val="0"/>
        <w:spacing w:line="520" w:lineRule="exact"/>
        <w:ind w:firstLine="480" w:firstLineChars="200"/>
        <w:textAlignment w:val="auto"/>
        <w:rPr>
          <w:rFonts w:hint="eastAsia"/>
          <w:color w:val="auto"/>
          <w:highlight w:val="none"/>
        </w:rPr>
      </w:pPr>
      <w:r>
        <w:rPr>
          <w:rFonts w:hint="eastAsia"/>
          <w:color w:val="auto"/>
          <w:highlight w:val="none"/>
        </w:rPr>
        <w:t>迟交的样品</w:t>
      </w:r>
    </w:p>
    <w:p>
      <w:pPr>
        <w:pStyle w:val="44"/>
        <w:keepNext w:val="0"/>
        <w:keepLines w:val="0"/>
        <w:pageBreakBefore w:val="0"/>
        <w:widowControl w:val="0"/>
        <w:kinsoku/>
        <w:overflowPunct/>
        <w:autoSpaceDE/>
        <w:autoSpaceDN/>
        <w:bidi w:val="0"/>
        <w:adjustRightInd w:val="0"/>
        <w:snapToGrid w:val="0"/>
        <w:spacing w:line="520" w:lineRule="exact"/>
        <w:ind w:firstLine="480" w:firstLineChars="200"/>
        <w:textAlignment w:val="auto"/>
        <w:rPr>
          <w:rFonts w:hint="eastAsia"/>
          <w:color w:val="auto"/>
          <w:highlight w:val="none"/>
        </w:rPr>
      </w:pPr>
      <w:r>
        <w:rPr>
          <w:rFonts w:hint="eastAsia"/>
          <w:color w:val="auto"/>
          <w:highlight w:val="none"/>
          <w:lang w:val="en-US" w:eastAsia="zh-CN"/>
        </w:rPr>
        <w:t>2.1</w:t>
      </w:r>
      <w:r>
        <w:rPr>
          <w:rFonts w:hint="eastAsia"/>
          <w:color w:val="auto"/>
          <w:highlight w:val="none"/>
        </w:rPr>
        <w:t>采购人和采购代理机构将拒绝接收在投标截止时间之后递交的样品。</w:t>
      </w:r>
    </w:p>
    <w:p>
      <w:pPr>
        <w:pStyle w:val="51"/>
        <w:keepNext w:val="0"/>
        <w:keepLines w:val="0"/>
        <w:pageBreakBefore w:val="0"/>
        <w:widowControl w:val="0"/>
        <w:numPr>
          <w:ilvl w:val="2"/>
          <w:numId w:val="33"/>
        </w:numPr>
        <w:kinsoku/>
        <w:overflowPunct/>
        <w:autoSpaceDE/>
        <w:autoSpaceDN/>
        <w:bidi w:val="0"/>
        <w:adjustRightInd w:val="0"/>
        <w:snapToGrid w:val="0"/>
        <w:spacing w:line="520" w:lineRule="exact"/>
        <w:ind w:firstLine="482" w:firstLineChars="200"/>
        <w:textAlignment w:val="auto"/>
        <w:rPr>
          <w:rFonts w:hint="eastAsia"/>
          <w:color w:val="auto"/>
          <w:highlight w:val="none"/>
        </w:rPr>
      </w:pPr>
      <w:bookmarkStart w:id="1182" w:name="_Toc2935"/>
      <w:bookmarkStart w:id="1183" w:name="_Toc29006"/>
      <w:bookmarkStart w:id="1184" w:name="_Toc664"/>
      <w:r>
        <w:rPr>
          <w:rFonts w:hint="eastAsia"/>
          <w:color w:val="auto"/>
          <w:highlight w:val="none"/>
        </w:rPr>
        <w:t>样品接收</w:t>
      </w:r>
      <w:bookmarkEnd w:id="1182"/>
      <w:bookmarkEnd w:id="1183"/>
      <w:bookmarkEnd w:id="1184"/>
    </w:p>
    <w:p>
      <w:pPr>
        <w:pStyle w:val="65"/>
        <w:keepNext w:val="0"/>
        <w:keepLines w:val="0"/>
        <w:pageBreakBefore w:val="0"/>
        <w:widowControl w:val="0"/>
        <w:numPr>
          <w:ilvl w:val="3"/>
          <w:numId w:val="33"/>
        </w:numPr>
        <w:kinsoku/>
        <w:overflowPunct/>
        <w:autoSpaceDE/>
        <w:autoSpaceDN/>
        <w:bidi w:val="0"/>
        <w:adjustRightInd w:val="0"/>
        <w:snapToGrid w:val="0"/>
        <w:spacing w:line="520" w:lineRule="exact"/>
        <w:ind w:firstLine="480" w:firstLineChars="200"/>
        <w:textAlignment w:val="auto"/>
        <w:rPr>
          <w:rFonts w:hint="eastAsia"/>
          <w:color w:val="auto"/>
          <w:highlight w:val="none"/>
        </w:rPr>
      </w:pPr>
      <w:r>
        <w:rPr>
          <w:rFonts w:hint="eastAsia"/>
          <w:color w:val="auto"/>
          <w:highlight w:val="none"/>
        </w:rPr>
        <w:t>接收样品</w:t>
      </w:r>
    </w:p>
    <w:p>
      <w:pPr>
        <w:pStyle w:val="66"/>
        <w:keepNext w:val="0"/>
        <w:keepLines w:val="0"/>
        <w:pageBreakBefore w:val="0"/>
        <w:widowControl w:val="0"/>
        <w:numPr>
          <w:ilvl w:val="4"/>
          <w:numId w:val="33"/>
        </w:numPr>
        <w:kinsoku/>
        <w:overflowPunct/>
        <w:autoSpaceDE/>
        <w:autoSpaceDN/>
        <w:bidi w:val="0"/>
        <w:adjustRightInd w:val="0"/>
        <w:snapToGrid w:val="0"/>
        <w:spacing w:line="520" w:lineRule="exact"/>
        <w:ind w:firstLine="480" w:firstLineChars="200"/>
        <w:textAlignment w:val="auto"/>
        <w:rPr>
          <w:rFonts w:hint="eastAsia"/>
          <w:color w:val="auto"/>
          <w:highlight w:val="none"/>
        </w:rPr>
      </w:pPr>
      <w:r>
        <w:rPr>
          <w:rFonts w:hint="eastAsia"/>
          <w:color w:val="auto"/>
          <w:highlight w:val="none"/>
        </w:rPr>
        <w:t>递交样品地点</w:t>
      </w:r>
      <w:r>
        <w:rPr>
          <w:rFonts w:hint="eastAsia"/>
          <w:color w:val="auto"/>
          <w:highlight w:val="none"/>
          <w:lang w:eastAsia="zh-CN"/>
        </w:rPr>
        <w:t>：</w:t>
      </w:r>
      <w:r>
        <w:rPr>
          <w:rFonts w:hint="eastAsia"/>
          <w:color w:val="auto"/>
          <w:highlight w:val="none"/>
          <w:lang w:val="en-US" w:eastAsia="zh-CN"/>
        </w:rPr>
        <w:t>同投标文件递交地址。</w:t>
      </w:r>
    </w:p>
    <w:p>
      <w:pPr>
        <w:pStyle w:val="66"/>
        <w:keepNext w:val="0"/>
        <w:keepLines w:val="0"/>
        <w:pageBreakBefore w:val="0"/>
        <w:widowControl w:val="0"/>
        <w:numPr>
          <w:ilvl w:val="4"/>
          <w:numId w:val="33"/>
        </w:numPr>
        <w:kinsoku/>
        <w:overflowPunct/>
        <w:autoSpaceDE/>
        <w:autoSpaceDN/>
        <w:bidi w:val="0"/>
        <w:adjustRightInd w:val="0"/>
        <w:snapToGrid w:val="0"/>
        <w:spacing w:line="520" w:lineRule="exact"/>
        <w:ind w:firstLine="480" w:firstLineChars="200"/>
        <w:textAlignment w:val="auto"/>
        <w:rPr>
          <w:rFonts w:hint="eastAsia"/>
          <w:color w:val="auto"/>
          <w:highlight w:val="none"/>
        </w:rPr>
      </w:pPr>
      <w:r>
        <w:rPr>
          <w:rFonts w:hint="eastAsia"/>
          <w:color w:val="auto"/>
          <w:highlight w:val="none"/>
        </w:rPr>
        <w:t>采购代理机构在招标文件中规定递交时间和地点统一接受投标人递交的样品，并做递交登记，投标人代表需在递交记录上签字确认。</w:t>
      </w:r>
    </w:p>
    <w:p>
      <w:pPr>
        <w:pStyle w:val="65"/>
        <w:keepNext w:val="0"/>
        <w:keepLines w:val="0"/>
        <w:pageBreakBefore w:val="0"/>
        <w:widowControl w:val="0"/>
        <w:numPr>
          <w:ilvl w:val="3"/>
          <w:numId w:val="33"/>
        </w:numPr>
        <w:kinsoku/>
        <w:overflowPunct/>
        <w:autoSpaceDE/>
        <w:autoSpaceDN/>
        <w:bidi w:val="0"/>
        <w:adjustRightInd w:val="0"/>
        <w:snapToGrid w:val="0"/>
        <w:spacing w:line="520" w:lineRule="exact"/>
        <w:ind w:firstLine="480" w:firstLineChars="200"/>
        <w:textAlignment w:val="auto"/>
        <w:rPr>
          <w:rFonts w:hint="eastAsia"/>
          <w:color w:val="auto"/>
          <w:highlight w:val="none"/>
        </w:rPr>
      </w:pPr>
      <w:r>
        <w:rPr>
          <w:rFonts w:hint="eastAsia"/>
          <w:color w:val="auto"/>
          <w:highlight w:val="none"/>
        </w:rPr>
        <w:t>投标人之间不得相互串通，不得排挤其他投标人的公平竞争，损害采购人或其他投标人的合法权益。</w:t>
      </w:r>
    </w:p>
    <w:p>
      <w:pPr>
        <w:pStyle w:val="51"/>
        <w:keepNext w:val="0"/>
        <w:keepLines w:val="0"/>
        <w:pageBreakBefore w:val="0"/>
        <w:widowControl w:val="0"/>
        <w:numPr>
          <w:ilvl w:val="2"/>
          <w:numId w:val="33"/>
        </w:numPr>
        <w:kinsoku/>
        <w:overflowPunct/>
        <w:autoSpaceDE/>
        <w:autoSpaceDN/>
        <w:bidi w:val="0"/>
        <w:adjustRightInd w:val="0"/>
        <w:snapToGrid w:val="0"/>
        <w:spacing w:line="520" w:lineRule="exact"/>
        <w:ind w:firstLine="482" w:firstLineChars="200"/>
        <w:textAlignment w:val="auto"/>
        <w:rPr>
          <w:rFonts w:hint="eastAsia"/>
          <w:color w:val="auto"/>
          <w:highlight w:val="none"/>
        </w:rPr>
      </w:pPr>
      <w:bookmarkStart w:id="1185" w:name="_Toc10239"/>
      <w:bookmarkStart w:id="1186" w:name="_Toc6279"/>
      <w:bookmarkStart w:id="1187" w:name="_Toc19388"/>
      <w:r>
        <w:rPr>
          <w:rFonts w:hint="eastAsia"/>
          <w:color w:val="auto"/>
          <w:highlight w:val="none"/>
        </w:rPr>
        <w:t>样品要求</w:t>
      </w:r>
      <w:bookmarkEnd w:id="1185"/>
      <w:bookmarkEnd w:id="1186"/>
      <w:bookmarkEnd w:id="1187"/>
    </w:p>
    <w:p>
      <w:pPr>
        <w:pStyle w:val="65"/>
        <w:keepNext w:val="0"/>
        <w:keepLines w:val="0"/>
        <w:pageBreakBefore w:val="0"/>
        <w:widowControl w:val="0"/>
        <w:numPr>
          <w:ilvl w:val="3"/>
          <w:numId w:val="33"/>
        </w:numPr>
        <w:kinsoku/>
        <w:overflowPunct/>
        <w:autoSpaceDE/>
        <w:autoSpaceDN/>
        <w:bidi w:val="0"/>
        <w:adjustRightInd w:val="0"/>
        <w:snapToGrid w:val="0"/>
        <w:spacing w:line="520" w:lineRule="exact"/>
        <w:ind w:firstLine="480" w:firstLineChars="200"/>
        <w:textAlignment w:val="auto"/>
        <w:rPr>
          <w:rFonts w:hint="eastAsia"/>
          <w:color w:val="auto"/>
          <w:highlight w:val="none"/>
        </w:rPr>
      </w:pPr>
      <w:r>
        <w:rPr>
          <w:rFonts w:hint="eastAsia"/>
          <w:color w:val="auto"/>
          <w:highlight w:val="none"/>
        </w:rPr>
        <w:t>样品递交数量</w:t>
      </w:r>
    </w:p>
    <w:p>
      <w:pPr>
        <w:pStyle w:val="66"/>
        <w:keepNext w:val="0"/>
        <w:keepLines w:val="0"/>
        <w:pageBreakBefore w:val="0"/>
        <w:widowControl w:val="0"/>
        <w:numPr>
          <w:ilvl w:val="4"/>
          <w:numId w:val="33"/>
        </w:numPr>
        <w:kinsoku/>
        <w:overflowPunct/>
        <w:autoSpaceDE/>
        <w:autoSpaceDN/>
        <w:bidi w:val="0"/>
        <w:adjustRightInd w:val="0"/>
        <w:snapToGrid w:val="0"/>
        <w:spacing w:line="520" w:lineRule="exact"/>
        <w:ind w:firstLine="480" w:firstLineChars="200"/>
        <w:textAlignment w:val="auto"/>
        <w:rPr>
          <w:rFonts w:hint="eastAsia"/>
          <w:color w:val="auto"/>
          <w:highlight w:val="none"/>
        </w:rPr>
      </w:pPr>
      <w:r>
        <w:rPr>
          <w:rFonts w:hint="eastAsia"/>
          <w:color w:val="auto"/>
          <w:highlight w:val="none"/>
        </w:rPr>
        <w:t>投标人应按招标文件中规定的时间提交招标文件中规定数量的样品作为评标依据。</w:t>
      </w:r>
    </w:p>
    <w:p>
      <w:pPr>
        <w:pStyle w:val="66"/>
        <w:keepNext w:val="0"/>
        <w:keepLines w:val="0"/>
        <w:pageBreakBefore w:val="0"/>
        <w:widowControl w:val="0"/>
        <w:numPr>
          <w:ilvl w:val="4"/>
          <w:numId w:val="33"/>
        </w:numPr>
        <w:kinsoku/>
        <w:overflowPunct/>
        <w:autoSpaceDE/>
        <w:autoSpaceDN/>
        <w:bidi w:val="0"/>
        <w:adjustRightInd w:val="0"/>
        <w:snapToGrid w:val="0"/>
        <w:spacing w:line="520" w:lineRule="exact"/>
        <w:ind w:firstLine="480" w:firstLineChars="200"/>
        <w:textAlignment w:val="auto"/>
        <w:rPr>
          <w:rFonts w:hint="eastAsia"/>
          <w:color w:val="auto"/>
          <w:highlight w:val="none"/>
        </w:rPr>
      </w:pPr>
      <w:r>
        <w:rPr>
          <w:rFonts w:hint="eastAsia"/>
          <w:color w:val="auto"/>
          <w:highlight w:val="none"/>
        </w:rPr>
        <w:t>投标样品的生产</w:t>
      </w:r>
      <w:r>
        <w:rPr>
          <w:rFonts w:hint="eastAsia"/>
          <w:color w:val="auto"/>
          <w:highlight w:val="none"/>
          <w:lang w:eastAsia="zh-CN"/>
        </w:rPr>
        <w:t>、</w:t>
      </w:r>
      <w:r>
        <w:rPr>
          <w:rFonts w:hint="eastAsia"/>
          <w:color w:val="auto"/>
          <w:highlight w:val="none"/>
        </w:rPr>
        <w:t>安装</w:t>
      </w:r>
      <w:r>
        <w:rPr>
          <w:rFonts w:hint="eastAsia"/>
          <w:color w:val="auto"/>
          <w:highlight w:val="none"/>
          <w:lang w:eastAsia="zh-CN"/>
        </w:rPr>
        <w:t>、</w:t>
      </w:r>
      <w:r>
        <w:rPr>
          <w:rFonts w:hint="eastAsia"/>
          <w:color w:val="auto"/>
          <w:highlight w:val="none"/>
        </w:rPr>
        <w:t>运输费</w:t>
      </w:r>
      <w:r>
        <w:rPr>
          <w:rFonts w:hint="eastAsia"/>
          <w:color w:val="auto"/>
          <w:highlight w:val="none"/>
          <w:lang w:eastAsia="zh-CN"/>
        </w:rPr>
        <w:t>、</w:t>
      </w:r>
      <w:r>
        <w:rPr>
          <w:rFonts w:hint="eastAsia"/>
          <w:color w:val="auto"/>
          <w:highlight w:val="none"/>
        </w:rPr>
        <w:t>保管费等一切费用由投标人自行承担。</w:t>
      </w:r>
    </w:p>
    <w:p>
      <w:pPr>
        <w:pStyle w:val="65"/>
        <w:keepNext w:val="0"/>
        <w:keepLines w:val="0"/>
        <w:pageBreakBefore w:val="0"/>
        <w:widowControl w:val="0"/>
        <w:numPr>
          <w:ilvl w:val="3"/>
          <w:numId w:val="33"/>
        </w:numPr>
        <w:kinsoku/>
        <w:overflowPunct/>
        <w:autoSpaceDE/>
        <w:autoSpaceDN/>
        <w:bidi w:val="0"/>
        <w:adjustRightInd w:val="0"/>
        <w:snapToGrid w:val="0"/>
        <w:spacing w:line="520" w:lineRule="exact"/>
        <w:ind w:firstLine="480" w:firstLineChars="200"/>
        <w:textAlignment w:val="auto"/>
        <w:rPr>
          <w:rFonts w:hint="eastAsia"/>
          <w:color w:val="auto"/>
          <w:highlight w:val="none"/>
        </w:rPr>
      </w:pPr>
      <w:r>
        <w:rPr>
          <w:rFonts w:hint="eastAsia"/>
          <w:color w:val="auto"/>
          <w:highlight w:val="none"/>
        </w:rPr>
        <w:t>样品包装</w:t>
      </w:r>
    </w:p>
    <w:p>
      <w:pPr>
        <w:pStyle w:val="48"/>
        <w:keepNext w:val="0"/>
        <w:keepLines w:val="0"/>
        <w:pageBreakBefore w:val="0"/>
        <w:widowControl w:val="0"/>
        <w:kinsoku/>
        <w:overflowPunct/>
        <w:autoSpaceDE/>
        <w:autoSpaceDN/>
        <w:bidi w:val="0"/>
        <w:adjustRightInd w:val="0"/>
        <w:snapToGrid w:val="0"/>
        <w:spacing w:line="520" w:lineRule="exact"/>
        <w:ind w:firstLine="480" w:firstLineChars="200"/>
        <w:textAlignment w:val="auto"/>
        <w:rPr>
          <w:rFonts w:hint="eastAsia"/>
          <w:color w:val="auto"/>
          <w:highlight w:val="none"/>
        </w:rPr>
      </w:pPr>
      <w:r>
        <w:rPr>
          <w:rFonts w:hint="eastAsia"/>
          <w:color w:val="auto"/>
          <w:highlight w:val="none"/>
          <w:lang w:val="en-US" w:eastAsia="zh-CN"/>
        </w:rPr>
        <w:t>2.1</w:t>
      </w:r>
      <w:r>
        <w:rPr>
          <w:rFonts w:hint="eastAsia"/>
          <w:color w:val="auto"/>
          <w:highlight w:val="none"/>
        </w:rPr>
        <w:t>递交投标样品同时须单独递交一份样品清单并加盖投标人鲜章，此清单不得附在样品上，未附样品清单的投标样品将拒绝接收。</w:t>
      </w:r>
    </w:p>
    <w:p>
      <w:pPr>
        <w:pStyle w:val="48"/>
        <w:keepNext w:val="0"/>
        <w:keepLines w:val="0"/>
        <w:pageBreakBefore w:val="0"/>
        <w:widowControl w:val="0"/>
        <w:kinsoku/>
        <w:overflowPunct/>
        <w:autoSpaceDE/>
        <w:autoSpaceDN/>
        <w:bidi w:val="0"/>
        <w:adjustRightInd w:val="0"/>
        <w:snapToGrid w:val="0"/>
        <w:spacing w:line="520" w:lineRule="exact"/>
        <w:ind w:firstLine="480" w:firstLineChars="200"/>
        <w:textAlignment w:val="auto"/>
        <w:rPr>
          <w:rFonts w:hint="default" w:eastAsia="宋体"/>
          <w:color w:val="auto"/>
          <w:highlight w:val="none"/>
          <w:lang w:val="en-US" w:eastAsia="zh-CN"/>
        </w:rPr>
      </w:pPr>
      <w:r>
        <w:rPr>
          <w:rFonts w:hint="eastAsia"/>
          <w:color w:val="auto"/>
          <w:highlight w:val="none"/>
          <w:lang w:val="en-US" w:eastAsia="zh-CN"/>
        </w:rPr>
        <w:t>2.2投标样品上不得有明示或暗示</w:t>
      </w:r>
      <w:r>
        <w:rPr>
          <w:rFonts w:hint="eastAsia" w:asciiTheme="minorEastAsia" w:hAnsiTheme="minorEastAsia" w:eastAsiaTheme="minorEastAsia" w:cstheme="minorEastAsia"/>
          <w:b w:val="0"/>
          <w:bCs/>
          <w:color w:val="auto"/>
          <w:sz w:val="24"/>
          <w:szCs w:val="24"/>
          <w:highlight w:val="none"/>
          <w:lang w:val="en-US" w:eastAsia="zh-CN"/>
        </w:rPr>
        <w:t>投标人</w:t>
      </w:r>
      <w:r>
        <w:rPr>
          <w:rFonts w:hint="eastAsia"/>
          <w:color w:val="auto"/>
          <w:highlight w:val="none"/>
          <w:lang w:val="en-US" w:eastAsia="zh-CN"/>
        </w:rPr>
        <w:t>的标识标记或符号。</w:t>
      </w:r>
    </w:p>
    <w:p>
      <w:pPr>
        <w:pStyle w:val="51"/>
        <w:keepNext w:val="0"/>
        <w:keepLines w:val="0"/>
        <w:pageBreakBefore w:val="0"/>
        <w:widowControl w:val="0"/>
        <w:numPr>
          <w:ilvl w:val="2"/>
          <w:numId w:val="33"/>
        </w:numPr>
        <w:kinsoku/>
        <w:overflowPunct/>
        <w:autoSpaceDE/>
        <w:autoSpaceDN/>
        <w:bidi w:val="0"/>
        <w:adjustRightInd w:val="0"/>
        <w:snapToGrid w:val="0"/>
        <w:spacing w:line="520" w:lineRule="exact"/>
        <w:ind w:firstLine="482" w:firstLineChars="200"/>
        <w:textAlignment w:val="auto"/>
        <w:rPr>
          <w:rFonts w:hint="eastAsia"/>
          <w:color w:val="auto"/>
          <w:highlight w:val="none"/>
        </w:rPr>
      </w:pPr>
      <w:bookmarkStart w:id="1188" w:name="_Toc1699"/>
      <w:bookmarkStart w:id="1189" w:name="_Toc10792"/>
      <w:bookmarkStart w:id="1190" w:name="_Toc6212"/>
      <w:r>
        <w:rPr>
          <w:rFonts w:hint="eastAsia"/>
          <w:color w:val="auto"/>
          <w:highlight w:val="none"/>
        </w:rPr>
        <w:t>投标样品退还</w:t>
      </w:r>
      <w:bookmarkEnd w:id="1188"/>
      <w:bookmarkEnd w:id="1189"/>
      <w:bookmarkEnd w:id="1190"/>
    </w:p>
    <w:p>
      <w:pPr>
        <w:keepNext w:val="0"/>
        <w:keepLines w:val="0"/>
        <w:pageBreakBefore w:val="0"/>
        <w:widowControl w:val="0"/>
        <w:kinsoku/>
        <w:overflowPunct/>
        <w:autoSpaceDE/>
        <w:autoSpaceDN/>
        <w:bidi w:val="0"/>
        <w:adjustRightInd w:val="0"/>
        <w:snapToGrid w:val="0"/>
        <w:spacing w:line="520" w:lineRule="exact"/>
        <w:ind w:firstLine="480" w:firstLineChars="200"/>
        <w:jc w:val="left"/>
        <w:textAlignment w:val="auto"/>
        <w:rPr>
          <w:color w:val="auto"/>
          <w:highlight w:val="none"/>
        </w:rPr>
      </w:pPr>
      <w:r>
        <w:rPr>
          <w:rFonts w:hint="eastAsia"/>
          <w:color w:val="auto"/>
          <w:highlight w:val="none"/>
        </w:rPr>
        <w:t>采购活动结束后，对于未中标人提供的样品，采购代理机构应当及时退还或者经未中标人同意后自行处理；对于中标人提供的样品将交由采购人封存，并作为履约验收的参考依据。</w:t>
      </w:r>
    </w:p>
    <w:p>
      <w:pPr>
        <w:pStyle w:val="49"/>
        <w:keepNext w:val="0"/>
        <w:keepLines w:val="0"/>
        <w:pageBreakBefore w:val="0"/>
        <w:widowControl w:val="0"/>
        <w:kinsoku/>
        <w:overflowPunct/>
        <w:autoSpaceDE/>
        <w:autoSpaceDN/>
        <w:bidi w:val="0"/>
        <w:spacing w:line="520" w:lineRule="exact"/>
        <w:ind w:firstLine="482"/>
        <w:textAlignment w:val="auto"/>
        <w:rPr>
          <w:color w:val="auto"/>
          <w:highlight w:val="none"/>
        </w:rPr>
      </w:pPr>
      <w:r>
        <w:rPr>
          <w:rFonts w:hint="eastAsia"/>
          <w:color w:val="auto"/>
          <w:highlight w:val="none"/>
        </w:rPr>
        <w:t>注意：</w:t>
      </w:r>
      <w:r>
        <w:rPr>
          <w:color w:val="auto"/>
          <w:highlight w:val="none"/>
        </w:rPr>
        <w:t>①</w:t>
      </w:r>
      <w:r>
        <w:rPr>
          <w:rFonts w:hint="eastAsia"/>
          <w:color w:val="auto"/>
          <w:highlight w:val="none"/>
        </w:rPr>
        <w:t>本章“技术参数及配置要求”中带“▲”号项目作为重要指标要求，非带“</w:t>
      </w:r>
      <w:r>
        <w:rPr>
          <w:rFonts w:hint="eastAsia" w:cs="宋体"/>
          <w:color w:val="auto"/>
          <w:highlight w:val="none"/>
        </w:rPr>
        <w:t>▲、</w:t>
      </w:r>
      <w:r>
        <w:rPr>
          <w:rFonts w:hint="eastAsia"/>
          <w:color w:val="auto"/>
          <w:highlight w:val="none"/>
        </w:rPr>
        <w:t>★”号项目作为一般技术指标要求，如未满足将根据评分办法规定分别进行扣分。</w:t>
      </w:r>
    </w:p>
    <w:p>
      <w:pPr>
        <w:pStyle w:val="49"/>
        <w:keepNext w:val="0"/>
        <w:keepLines w:val="0"/>
        <w:pageBreakBefore w:val="0"/>
        <w:widowControl w:val="0"/>
        <w:kinsoku/>
        <w:overflowPunct/>
        <w:autoSpaceDE/>
        <w:autoSpaceDN/>
        <w:bidi w:val="0"/>
        <w:spacing w:line="520" w:lineRule="exact"/>
        <w:ind w:firstLine="482"/>
        <w:textAlignment w:val="auto"/>
        <w:rPr>
          <w:color w:val="auto"/>
          <w:highlight w:val="none"/>
        </w:rPr>
      </w:pPr>
      <w:r>
        <w:rPr>
          <w:rFonts w:hint="eastAsia"/>
          <w:color w:val="auto"/>
          <w:highlight w:val="none"/>
        </w:rPr>
        <w:t>②本章带“★”号条款为实质性要求，</w:t>
      </w:r>
      <w:r>
        <w:rPr>
          <w:rFonts w:hint="eastAsia" w:ascii="宋体" w:hAnsi="宋体" w:eastAsia="宋体"/>
          <w:color w:val="auto"/>
          <w:highlight w:val="none"/>
          <w:lang w:val="en-US" w:eastAsia="zh-CN"/>
        </w:rPr>
        <w:t>投标人须</w:t>
      </w:r>
      <w:r>
        <w:rPr>
          <w:rFonts w:hint="eastAsia"/>
          <w:color w:val="auto"/>
          <w:highlight w:val="none"/>
          <w:lang w:val="en-US" w:eastAsia="zh-CN"/>
        </w:rPr>
        <w:t>根据招标文件具体要求</w:t>
      </w:r>
      <w:r>
        <w:rPr>
          <w:rFonts w:hint="eastAsia" w:ascii="宋体" w:hAnsi="宋体" w:eastAsia="宋体"/>
          <w:color w:val="auto"/>
          <w:highlight w:val="none"/>
          <w:lang w:val="en-US" w:eastAsia="zh-CN"/>
        </w:rPr>
        <w:t>提供</w:t>
      </w:r>
      <w:r>
        <w:rPr>
          <w:rFonts w:hint="eastAsia"/>
          <w:color w:val="auto"/>
          <w:highlight w:val="none"/>
          <w:lang w:val="en-US" w:eastAsia="zh-CN"/>
        </w:rPr>
        <w:t>相应</w:t>
      </w:r>
      <w:r>
        <w:rPr>
          <w:rFonts w:hint="eastAsia" w:ascii="宋体" w:hAnsi="宋体" w:eastAsia="宋体"/>
          <w:color w:val="auto"/>
          <w:highlight w:val="none"/>
          <w:lang w:val="en-US" w:eastAsia="zh-CN"/>
        </w:rPr>
        <w:t>证明材料</w:t>
      </w:r>
      <w:r>
        <w:rPr>
          <w:rFonts w:hint="eastAsia"/>
          <w:color w:val="auto"/>
          <w:highlight w:val="none"/>
          <w:lang w:val="en-US" w:eastAsia="zh-CN"/>
        </w:rPr>
        <w:t>，若招标文件未要求提供具体证明材料的以投标人提供的“实质性要求承诺”响应为准</w:t>
      </w:r>
      <w:r>
        <w:rPr>
          <w:rFonts w:hint="eastAsia" w:ascii="宋体" w:hAnsi="宋体" w:eastAsia="宋体"/>
          <w:color w:val="auto"/>
          <w:highlight w:val="none"/>
          <w:lang w:val="en-US" w:eastAsia="zh-CN"/>
        </w:rPr>
        <w:t>，</w:t>
      </w:r>
      <w:r>
        <w:rPr>
          <w:rFonts w:hint="eastAsia"/>
          <w:color w:val="auto"/>
          <w:highlight w:val="none"/>
          <w:lang w:val="en-US" w:eastAsia="zh-CN"/>
        </w:rPr>
        <w:t>否则</w:t>
      </w:r>
      <w:r>
        <w:rPr>
          <w:rFonts w:hint="eastAsia" w:ascii="宋体" w:hAnsi="宋体" w:eastAsia="宋体"/>
          <w:color w:val="auto"/>
          <w:highlight w:val="none"/>
          <w:lang w:val="en-US" w:eastAsia="zh-CN"/>
        </w:rPr>
        <w:t>将被视为无效投标。</w:t>
      </w:r>
      <w:r>
        <w:rPr>
          <w:rFonts w:hint="eastAsia"/>
          <w:color w:val="auto"/>
          <w:highlight w:val="none"/>
        </w:rPr>
        <w:br w:type="page"/>
      </w:r>
    </w:p>
    <w:bookmarkEnd w:id="1094"/>
    <w:bookmarkEnd w:id="1095"/>
    <w:bookmarkEnd w:id="1096"/>
    <w:p>
      <w:pPr>
        <w:pStyle w:val="50"/>
        <w:numPr>
          <w:ilvl w:val="0"/>
          <w:numId w:val="15"/>
        </w:numPr>
        <w:spacing w:before="120" w:after="120"/>
        <w:rPr>
          <w:color w:val="auto"/>
          <w:highlight w:val="none"/>
        </w:rPr>
      </w:pPr>
      <w:bookmarkStart w:id="1191" w:name="_Toc20149"/>
      <w:bookmarkStart w:id="1192" w:name="_Toc32447"/>
      <w:bookmarkStart w:id="1193" w:name="_Toc26579"/>
      <w:bookmarkStart w:id="1194" w:name="_Toc10570"/>
      <w:bookmarkStart w:id="1195" w:name="_Toc4553"/>
      <w:bookmarkStart w:id="1196" w:name="_Toc217446097"/>
      <w:bookmarkStart w:id="1197" w:name="_Toc2232"/>
      <w:bookmarkStart w:id="1198" w:name="_Toc21302"/>
      <w:bookmarkStart w:id="1199" w:name="_Toc1543"/>
      <w:bookmarkStart w:id="1200" w:name="_Toc327196339"/>
      <w:bookmarkStart w:id="1201" w:name="_Toc308188198"/>
      <w:bookmarkStart w:id="1202" w:name="_Toc11039"/>
      <w:bookmarkStart w:id="1203" w:name="_Toc25435"/>
      <w:bookmarkStart w:id="1204" w:name="_Toc26923"/>
      <w:bookmarkStart w:id="1205" w:name="_Toc309897563"/>
      <w:bookmarkStart w:id="1206" w:name="_Toc307501154"/>
      <w:bookmarkStart w:id="1207" w:name="_Toc483"/>
      <w:bookmarkStart w:id="1208" w:name="_Toc319440188"/>
      <w:bookmarkStart w:id="1209" w:name="_Toc183682415"/>
      <w:bookmarkStart w:id="1210" w:name="_Toc3881"/>
      <w:bookmarkStart w:id="1211" w:name="_Toc307564896"/>
      <w:bookmarkStart w:id="1212" w:name="_Toc183582280"/>
      <w:bookmarkStart w:id="1213" w:name="_Toc308084645"/>
      <w:bookmarkStart w:id="1214" w:name="_Toc25959"/>
      <w:bookmarkStart w:id="1215" w:name="_Toc208849007"/>
      <w:bookmarkStart w:id="1216" w:name="_Toc319439946"/>
      <w:r>
        <w:rPr>
          <w:rFonts w:hint="eastAsia"/>
          <w:color w:val="auto"/>
          <w:highlight w:val="none"/>
        </w:rPr>
        <w:t>评标办法</w:t>
      </w:r>
      <w:bookmarkEnd w:id="1191"/>
      <w:bookmarkEnd w:id="1192"/>
      <w:bookmarkEnd w:id="1193"/>
      <w:bookmarkEnd w:id="1194"/>
      <w:bookmarkStart w:id="1217" w:name="_Hlt101846155"/>
      <w:bookmarkEnd w:id="1217"/>
    </w:p>
    <w:p>
      <w:pPr>
        <w:pStyle w:val="36"/>
        <w:numPr>
          <w:ilvl w:val="1"/>
          <w:numId w:val="15"/>
        </w:numPr>
        <w:spacing w:line="520" w:lineRule="exact"/>
        <w:ind w:firstLine="482"/>
        <w:rPr>
          <w:color w:val="auto"/>
          <w:highlight w:val="none"/>
        </w:rPr>
      </w:pPr>
      <w:bookmarkStart w:id="1218" w:name="_Toc18223"/>
      <w:bookmarkStart w:id="1219" w:name="_Toc16563"/>
      <w:bookmarkStart w:id="1220" w:name="_Toc3513"/>
      <w:r>
        <w:rPr>
          <w:rFonts w:hint="eastAsia"/>
          <w:color w:val="auto"/>
          <w:highlight w:val="none"/>
        </w:rPr>
        <w:t>总则</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8"/>
      <w:bookmarkEnd w:id="1219"/>
      <w:bookmarkEnd w:id="1220"/>
    </w:p>
    <w:p>
      <w:pPr>
        <w:pStyle w:val="34"/>
        <w:numPr>
          <w:ilvl w:val="1"/>
          <w:numId w:val="35"/>
        </w:numPr>
        <w:spacing w:line="520" w:lineRule="exact"/>
        <w:ind w:firstLine="480"/>
        <w:rPr>
          <w:color w:val="auto"/>
          <w:highlight w:val="none"/>
        </w:rPr>
      </w:pPr>
      <w:r>
        <w:rPr>
          <w:rFonts w:hint="eastAsia"/>
          <w:color w:val="auto"/>
          <w:highlight w:val="none"/>
          <w:lang w:val="en-US" w:eastAsia="zh-CN"/>
        </w:rPr>
        <w:t>参照</w:t>
      </w:r>
      <w:r>
        <w:rPr>
          <w:rFonts w:hint="eastAsia"/>
          <w:color w:val="auto"/>
          <w:highlight w:val="none"/>
        </w:rPr>
        <w:t>《中华人民共和国政府采购法》《中华人民共和国政府采购法实施条例》及《政府采购货物和服务招标投标管理办法》(财政部令第87号)等法律规章，结合采购项目特点制定本评标办法。</w:t>
      </w:r>
    </w:p>
    <w:p>
      <w:pPr>
        <w:pStyle w:val="34"/>
        <w:numPr>
          <w:ilvl w:val="1"/>
          <w:numId w:val="35"/>
        </w:numPr>
        <w:spacing w:line="520" w:lineRule="exact"/>
        <w:ind w:firstLine="480"/>
        <w:rPr>
          <w:color w:val="auto"/>
          <w:highlight w:val="none"/>
        </w:rPr>
      </w:pPr>
      <w:r>
        <w:rPr>
          <w:rFonts w:hint="eastAsia"/>
          <w:color w:val="auto"/>
          <w:highlight w:val="none"/>
        </w:rPr>
        <w:t>评标工作由采购代理机构负责组织，具体评标事务由采购代理机构依法组建的评标委员会负责。评标委员会由采购人代表和有关技术、经济等方面的专家组成。</w:t>
      </w:r>
    </w:p>
    <w:p>
      <w:pPr>
        <w:pStyle w:val="34"/>
        <w:numPr>
          <w:ilvl w:val="1"/>
          <w:numId w:val="35"/>
        </w:numPr>
        <w:spacing w:line="520" w:lineRule="exact"/>
        <w:ind w:firstLine="480"/>
        <w:rPr>
          <w:color w:val="auto"/>
          <w:highlight w:val="none"/>
        </w:rPr>
      </w:pPr>
      <w:r>
        <w:rPr>
          <w:rFonts w:hint="eastAsia"/>
          <w:color w:val="auto"/>
          <w:highlight w:val="none"/>
        </w:rPr>
        <w:t>评标工作应遵循公平、公正、科学及择优的原则，并以相同的评标程序和标准对待所有的投标人。</w:t>
      </w:r>
    </w:p>
    <w:p>
      <w:pPr>
        <w:pStyle w:val="34"/>
        <w:numPr>
          <w:ilvl w:val="1"/>
          <w:numId w:val="35"/>
        </w:numPr>
        <w:spacing w:line="520" w:lineRule="exact"/>
        <w:ind w:firstLine="480"/>
        <w:rPr>
          <w:color w:val="auto"/>
          <w:highlight w:val="none"/>
        </w:rPr>
      </w:pPr>
      <w:r>
        <w:rPr>
          <w:rFonts w:hint="eastAsia"/>
          <w:color w:val="auto"/>
          <w:highlight w:val="none"/>
        </w:rPr>
        <w:t>评标委员会按照招标文件规定的评标方法和标准进行评标，并独立履行下列职责：</w:t>
      </w:r>
    </w:p>
    <w:p>
      <w:pPr>
        <w:pStyle w:val="37"/>
        <w:spacing w:line="520" w:lineRule="exact"/>
        <w:ind w:firstLine="480"/>
        <w:rPr>
          <w:color w:val="auto"/>
          <w:highlight w:val="none"/>
        </w:rPr>
      </w:pPr>
      <w:bookmarkStart w:id="1221" w:name="_Toc217446098"/>
      <w:r>
        <w:rPr>
          <w:rFonts w:hint="eastAsia"/>
          <w:color w:val="auto"/>
          <w:highlight w:val="none"/>
        </w:rPr>
        <w:t>审查、评价投标文件是否符合招标文件的商务、技术等实质性要求；</w:t>
      </w:r>
    </w:p>
    <w:p>
      <w:pPr>
        <w:pStyle w:val="37"/>
        <w:spacing w:line="520" w:lineRule="exact"/>
        <w:ind w:firstLine="480"/>
        <w:rPr>
          <w:color w:val="auto"/>
          <w:highlight w:val="none"/>
        </w:rPr>
      </w:pPr>
      <w:r>
        <w:rPr>
          <w:rFonts w:hint="eastAsia"/>
          <w:color w:val="auto"/>
          <w:highlight w:val="none"/>
        </w:rPr>
        <w:t>要求投标人对投标文件有关事项作出澄清或者说明；</w:t>
      </w:r>
    </w:p>
    <w:p>
      <w:pPr>
        <w:pStyle w:val="37"/>
        <w:spacing w:line="520" w:lineRule="exact"/>
        <w:ind w:firstLine="480"/>
        <w:rPr>
          <w:color w:val="auto"/>
          <w:highlight w:val="none"/>
        </w:rPr>
      </w:pPr>
      <w:r>
        <w:rPr>
          <w:rFonts w:hint="eastAsia"/>
          <w:color w:val="auto"/>
          <w:highlight w:val="none"/>
        </w:rPr>
        <w:t>对投标文件进行比较和评价；</w:t>
      </w:r>
    </w:p>
    <w:p>
      <w:pPr>
        <w:pStyle w:val="37"/>
        <w:spacing w:line="520" w:lineRule="exact"/>
        <w:ind w:firstLine="480"/>
        <w:rPr>
          <w:color w:val="auto"/>
          <w:highlight w:val="none"/>
        </w:rPr>
      </w:pPr>
      <w:r>
        <w:rPr>
          <w:rFonts w:hint="eastAsia"/>
          <w:color w:val="auto"/>
          <w:highlight w:val="none"/>
        </w:rPr>
        <w:t>确定中标候选人名单；</w:t>
      </w:r>
    </w:p>
    <w:p>
      <w:pPr>
        <w:pStyle w:val="37"/>
        <w:spacing w:line="520" w:lineRule="exact"/>
        <w:ind w:firstLine="480"/>
        <w:rPr>
          <w:color w:val="auto"/>
          <w:highlight w:val="none"/>
        </w:rPr>
      </w:pPr>
      <w:r>
        <w:rPr>
          <w:rFonts w:hint="eastAsia"/>
          <w:color w:val="auto"/>
          <w:highlight w:val="none"/>
        </w:rPr>
        <w:t>向采购人、采购代理机构或者有关部门报告评标中发现的违法行为。</w:t>
      </w:r>
    </w:p>
    <w:p>
      <w:pPr>
        <w:pStyle w:val="34"/>
        <w:spacing w:line="520" w:lineRule="exact"/>
        <w:ind w:firstLine="480"/>
        <w:rPr>
          <w:color w:val="auto"/>
          <w:highlight w:val="none"/>
        </w:rPr>
      </w:pPr>
      <w:r>
        <w:rPr>
          <w:rFonts w:hint="eastAsia"/>
          <w:color w:val="auto"/>
          <w:highlight w:val="none"/>
        </w:rPr>
        <w:t>评标过程独立、保密。投标人非法干预评标过程的行为将导致其投标文件作为无效处理。</w:t>
      </w:r>
    </w:p>
    <w:p>
      <w:pPr>
        <w:pStyle w:val="34"/>
        <w:spacing w:line="520" w:lineRule="exact"/>
        <w:ind w:firstLine="480"/>
        <w:rPr>
          <w:color w:val="auto"/>
          <w:highlight w:val="none"/>
        </w:rPr>
      </w:pPr>
      <w:r>
        <w:rPr>
          <w:rFonts w:hint="eastAsia"/>
          <w:color w:val="auto"/>
          <w:highlight w:val="none"/>
        </w:rPr>
        <w:t>评标委员会评价投标文件的响应性，对于投标人而言，除评标委员会要求其澄清、说明或者纠正而提供的资料外，仅依据投标文件本身的内容，不寻求其他外部证据。</w:t>
      </w:r>
    </w:p>
    <w:p>
      <w:pPr>
        <w:pStyle w:val="34"/>
        <w:spacing w:line="520" w:lineRule="exact"/>
        <w:ind w:firstLine="480"/>
        <w:rPr>
          <w:color w:val="auto"/>
          <w:highlight w:val="none"/>
        </w:rPr>
      </w:pPr>
      <w:r>
        <w:rPr>
          <w:rFonts w:hint="eastAsia"/>
          <w:color w:val="auto"/>
          <w:highlight w:val="none"/>
        </w:rPr>
        <w:t>评委会发现招标文件表述不明确或需要说明的事项，可提请招标采购单位书面解释说明。发现招标文件违反有关法律、法规和规章的，可以拒绝评标，并向招标采购单位书面说明情况(注明法律法规依据)。</w:t>
      </w:r>
    </w:p>
    <w:p>
      <w:pPr>
        <w:pStyle w:val="36"/>
        <w:numPr>
          <w:ilvl w:val="1"/>
          <w:numId w:val="15"/>
        </w:numPr>
        <w:spacing w:line="520" w:lineRule="exact"/>
        <w:ind w:firstLine="482"/>
        <w:rPr>
          <w:color w:val="auto"/>
          <w:highlight w:val="none"/>
        </w:rPr>
      </w:pPr>
      <w:bookmarkStart w:id="1222" w:name="_Toc8496"/>
      <w:bookmarkStart w:id="1223" w:name="_Toc5152"/>
      <w:bookmarkStart w:id="1224" w:name="_Toc5338"/>
      <w:bookmarkStart w:id="1225" w:name="_Toc14100"/>
      <w:bookmarkStart w:id="1226" w:name="_Toc327196340"/>
      <w:bookmarkStart w:id="1227" w:name="_Toc3371"/>
      <w:bookmarkStart w:id="1228" w:name="_Toc26792"/>
      <w:bookmarkStart w:id="1229" w:name="_Toc23669"/>
      <w:bookmarkStart w:id="1230" w:name="_Toc319440189"/>
      <w:bookmarkStart w:id="1231" w:name="_Toc12975"/>
      <w:bookmarkStart w:id="1232" w:name="_Toc25612"/>
      <w:bookmarkStart w:id="1233" w:name="_Toc10398"/>
      <w:bookmarkStart w:id="1234" w:name="_Toc3873"/>
      <w:bookmarkStart w:id="1235" w:name="_Toc23268"/>
      <w:bookmarkStart w:id="1236" w:name="_Toc3915"/>
      <w:r>
        <w:rPr>
          <w:rFonts w:hint="eastAsia"/>
          <w:color w:val="auto"/>
          <w:highlight w:val="none"/>
        </w:rPr>
        <w:t>评标方法</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p>
      <w:pPr>
        <w:pStyle w:val="48"/>
        <w:spacing w:line="520" w:lineRule="exact"/>
        <w:rPr>
          <w:color w:val="auto"/>
          <w:highlight w:val="none"/>
        </w:rPr>
      </w:pPr>
      <w:r>
        <w:rPr>
          <w:rFonts w:hint="eastAsia"/>
          <w:color w:val="auto"/>
          <w:highlight w:val="none"/>
        </w:rPr>
        <w:t>本项目评标方法为：综合评分法。</w:t>
      </w:r>
    </w:p>
    <w:p>
      <w:pPr>
        <w:pStyle w:val="36"/>
        <w:numPr>
          <w:ilvl w:val="1"/>
          <w:numId w:val="15"/>
        </w:numPr>
        <w:spacing w:line="520" w:lineRule="exact"/>
        <w:ind w:firstLine="482"/>
        <w:rPr>
          <w:color w:val="auto"/>
          <w:highlight w:val="none"/>
        </w:rPr>
      </w:pPr>
      <w:bookmarkStart w:id="1237" w:name="_Toc19196"/>
      <w:bookmarkStart w:id="1238" w:name="_Toc7390"/>
      <w:bookmarkStart w:id="1239" w:name="_Toc17613"/>
      <w:bookmarkStart w:id="1240" w:name="_Toc327196341"/>
      <w:bookmarkStart w:id="1241" w:name="_Toc27103"/>
      <w:bookmarkStart w:id="1242" w:name="_Toc12883"/>
      <w:bookmarkStart w:id="1243" w:name="_Toc5897"/>
      <w:bookmarkStart w:id="1244" w:name="_Toc23322"/>
      <w:bookmarkStart w:id="1245" w:name="_Toc319440190"/>
      <w:bookmarkStart w:id="1246" w:name="_Toc31119"/>
      <w:bookmarkStart w:id="1247" w:name="_Toc5906"/>
      <w:bookmarkStart w:id="1248" w:name="_Toc26858"/>
      <w:bookmarkStart w:id="1249" w:name="_Toc9969"/>
      <w:bookmarkStart w:id="1250" w:name="_Toc17374"/>
      <w:bookmarkStart w:id="1251" w:name="_Toc926"/>
      <w:r>
        <w:rPr>
          <w:rFonts w:hint="eastAsia"/>
          <w:color w:val="auto"/>
          <w:highlight w:val="none"/>
        </w:rPr>
        <w:t>评标程序</w:t>
      </w:r>
      <w:bookmarkEnd w:id="1221"/>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pPr>
        <w:pStyle w:val="34"/>
        <w:numPr>
          <w:ilvl w:val="1"/>
          <w:numId w:val="36"/>
        </w:numPr>
        <w:spacing w:line="520" w:lineRule="exact"/>
        <w:ind w:firstLine="480"/>
        <w:rPr>
          <w:color w:val="auto"/>
          <w:highlight w:val="none"/>
        </w:rPr>
      </w:pPr>
      <w:r>
        <w:rPr>
          <w:rFonts w:hint="eastAsia"/>
          <w:color w:val="auto"/>
          <w:highlight w:val="none"/>
        </w:rPr>
        <w:t>熟悉招标文件和停止评标</w:t>
      </w:r>
    </w:p>
    <w:p>
      <w:pPr>
        <w:pStyle w:val="37"/>
        <w:spacing w:line="520" w:lineRule="exact"/>
        <w:ind w:firstLine="480"/>
        <w:rPr>
          <w:color w:val="auto"/>
          <w:highlight w:val="none"/>
        </w:rPr>
      </w:pPr>
      <w:r>
        <w:rPr>
          <w:rFonts w:hint="eastAsia"/>
          <w:color w:val="auto"/>
          <w:highlight w:val="none"/>
        </w:rPr>
        <w:t>评标委员会正式评标前，应当熟悉招标文件，主要包括招标文件中符合性审查内容、采购项目技术、服务和商务要求、评标方法和标准以及</w:t>
      </w:r>
      <w:r>
        <w:rPr>
          <w:rFonts w:hint="eastAsia"/>
          <w:color w:val="auto"/>
          <w:highlight w:val="none"/>
          <w:lang w:eastAsia="zh-CN"/>
        </w:rPr>
        <w:t>采购合同</w:t>
      </w:r>
      <w:r>
        <w:rPr>
          <w:rFonts w:hint="eastAsia"/>
          <w:color w:val="auto"/>
          <w:highlight w:val="none"/>
        </w:rPr>
        <w:t>主要条款等。</w:t>
      </w:r>
    </w:p>
    <w:p>
      <w:pPr>
        <w:pStyle w:val="37"/>
        <w:spacing w:line="520" w:lineRule="exact"/>
        <w:ind w:firstLine="480"/>
        <w:rPr>
          <w:color w:val="auto"/>
          <w:highlight w:val="none"/>
        </w:rPr>
      </w:pPr>
      <w:r>
        <w:rPr>
          <w:rFonts w:hint="eastAsia"/>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pStyle w:val="37"/>
        <w:spacing w:line="520" w:lineRule="exact"/>
        <w:ind w:firstLine="480"/>
        <w:rPr>
          <w:color w:val="auto"/>
          <w:highlight w:val="none"/>
        </w:rPr>
      </w:pPr>
      <w:r>
        <w:rPr>
          <w:rFonts w:hint="eastAsia"/>
          <w:color w:val="auto"/>
          <w:highlight w:val="none"/>
        </w:rPr>
        <w:t>评标过程中有下列情形之一的，评标委员会成员可以停止评标：</w:t>
      </w:r>
    </w:p>
    <w:p>
      <w:pPr>
        <w:pStyle w:val="38"/>
        <w:spacing w:line="520" w:lineRule="exact"/>
        <w:ind w:firstLine="480"/>
        <w:rPr>
          <w:color w:val="auto"/>
          <w:highlight w:val="none"/>
        </w:rPr>
      </w:pPr>
      <w:r>
        <w:rPr>
          <w:rFonts w:hint="eastAsia"/>
          <w:color w:val="auto"/>
          <w:highlight w:val="none"/>
        </w:rPr>
        <w:t>招标采购单位未提供必要的与采购项目有关的政策制度文件或者招标文件，继续评标将导致违法或者错误评标的；</w:t>
      </w:r>
    </w:p>
    <w:p>
      <w:pPr>
        <w:pStyle w:val="38"/>
        <w:spacing w:line="520" w:lineRule="exact"/>
        <w:ind w:firstLine="480"/>
        <w:rPr>
          <w:color w:val="auto"/>
          <w:highlight w:val="none"/>
        </w:rPr>
      </w:pPr>
      <w:r>
        <w:rPr>
          <w:rFonts w:hint="eastAsia"/>
          <w:color w:val="auto"/>
          <w:highlight w:val="none"/>
        </w:rPr>
        <w:t>有关单位和个人非法干预评标委员会依法独立评标的；</w:t>
      </w:r>
    </w:p>
    <w:p>
      <w:pPr>
        <w:pStyle w:val="38"/>
        <w:spacing w:line="520" w:lineRule="exact"/>
        <w:ind w:firstLine="480"/>
        <w:rPr>
          <w:color w:val="auto"/>
          <w:highlight w:val="none"/>
        </w:rPr>
      </w:pPr>
      <w:r>
        <w:rPr>
          <w:rFonts w:hint="eastAsia"/>
          <w:color w:val="auto"/>
          <w:highlight w:val="none"/>
        </w:rPr>
        <w:t>其他导致评标委员会无法正常履职的情形。</w:t>
      </w:r>
    </w:p>
    <w:p>
      <w:pPr>
        <w:pStyle w:val="37"/>
        <w:spacing w:line="520" w:lineRule="exact"/>
        <w:ind w:firstLine="480"/>
        <w:rPr>
          <w:color w:val="auto"/>
          <w:highlight w:val="none"/>
        </w:rPr>
      </w:pPr>
      <w:r>
        <w:rPr>
          <w:rFonts w:hint="eastAsia"/>
          <w:color w:val="auto"/>
          <w:highlight w:val="none"/>
        </w:rPr>
        <w:t>出现本条规定应当停止评标或者可以停止评标情形的，评标委员会成员应当向招标采购单位书面说明情况。除本条规定的情形外，评标委员会成员不得以任何方式和理由停止评标。</w:t>
      </w:r>
    </w:p>
    <w:p>
      <w:pPr>
        <w:pStyle w:val="34"/>
        <w:spacing w:line="520" w:lineRule="exact"/>
        <w:ind w:firstLine="480"/>
        <w:rPr>
          <w:color w:val="auto"/>
          <w:highlight w:val="none"/>
        </w:rPr>
      </w:pPr>
      <w:r>
        <w:rPr>
          <w:rFonts w:hint="eastAsia"/>
          <w:color w:val="auto"/>
          <w:highlight w:val="none"/>
        </w:rPr>
        <w:t>符合性审查</w:t>
      </w:r>
    </w:p>
    <w:p>
      <w:pPr>
        <w:pStyle w:val="48"/>
        <w:spacing w:line="520" w:lineRule="exact"/>
        <w:rPr>
          <w:color w:val="auto"/>
          <w:highlight w:val="none"/>
        </w:rPr>
      </w:pPr>
      <w:r>
        <w:rPr>
          <w:rFonts w:hint="eastAsia"/>
          <w:color w:val="auto"/>
          <w:highlight w:val="none"/>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pStyle w:val="37"/>
        <w:spacing w:line="520" w:lineRule="exact"/>
        <w:ind w:firstLine="480"/>
        <w:rPr>
          <w:color w:val="auto"/>
          <w:highlight w:val="none"/>
        </w:rPr>
      </w:pPr>
      <w:r>
        <w:rPr>
          <w:rFonts w:hint="eastAsia"/>
          <w:color w:val="auto"/>
          <w:highlight w:val="none"/>
        </w:rPr>
        <w:t>投标文件(包括单独递交的开标一览表)有下列情形的，本项目不作为实质性要求进行规定，即不作为符合性审查事项，不得作为无效投标处理：</w:t>
      </w:r>
    </w:p>
    <w:p>
      <w:pPr>
        <w:pStyle w:val="38"/>
        <w:spacing w:line="520" w:lineRule="exact"/>
        <w:ind w:firstLine="480"/>
        <w:rPr>
          <w:color w:val="auto"/>
          <w:highlight w:val="none"/>
        </w:rPr>
      </w:pPr>
      <w:r>
        <w:rPr>
          <w:rFonts w:hint="eastAsia"/>
          <w:color w:val="auto"/>
          <w:highlight w:val="none"/>
        </w:rPr>
        <w:t>正副本数量齐全，只是未按照招标文件要求进行分装或者统装的；</w:t>
      </w:r>
    </w:p>
    <w:p>
      <w:pPr>
        <w:pStyle w:val="38"/>
        <w:spacing w:line="520" w:lineRule="exact"/>
        <w:ind w:firstLine="480"/>
        <w:rPr>
          <w:color w:val="auto"/>
          <w:highlight w:val="none"/>
        </w:rPr>
      </w:pPr>
      <w:r>
        <w:rPr>
          <w:rFonts w:hint="eastAsia"/>
          <w:color w:val="auto"/>
          <w:highlight w:val="none"/>
        </w:rPr>
        <w:t>存在个别地方(不超过2个)没有法定代表人签字，但有法定代表人的私人印章或者有效授权代理人签字的；</w:t>
      </w:r>
    </w:p>
    <w:p>
      <w:pPr>
        <w:pStyle w:val="38"/>
        <w:spacing w:line="520" w:lineRule="exact"/>
        <w:ind w:firstLine="480"/>
        <w:rPr>
          <w:color w:val="auto"/>
          <w:highlight w:val="none"/>
        </w:rPr>
      </w:pPr>
      <w:r>
        <w:rPr>
          <w:rFonts w:hint="eastAsia"/>
          <w:color w:val="auto"/>
          <w:highlight w:val="none"/>
        </w:rPr>
        <w:t>除招标文件明确要求加盖单位(法人)公章的以外，其他地方以相关专用章加盖的；</w:t>
      </w:r>
    </w:p>
    <w:p>
      <w:pPr>
        <w:pStyle w:val="38"/>
        <w:spacing w:line="520" w:lineRule="exact"/>
        <w:ind w:firstLine="480"/>
        <w:rPr>
          <w:color w:val="auto"/>
          <w:highlight w:val="none"/>
        </w:rPr>
      </w:pPr>
      <w:r>
        <w:rPr>
          <w:rFonts w:hint="eastAsia"/>
          <w:color w:val="auto"/>
          <w:highlight w:val="none"/>
        </w:rPr>
        <w:t>以骑缝章的形式代替投标文件内容逐页盖章的(但是骑缝章模糊不清，印章名称无法辨认的除外)；</w:t>
      </w:r>
    </w:p>
    <w:p>
      <w:pPr>
        <w:pStyle w:val="38"/>
        <w:spacing w:line="520" w:lineRule="exact"/>
        <w:ind w:firstLine="480"/>
        <w:rPr>
          <w:color w:val="auto"/>
          <w:highlight w:val="none"/>
        </w:rPr>
      </w:pPr>
      <w:r>
        <w:rPr>
          <w:rFonts w:hint="eastAsia"/>
          <w:color w:val="auto"/>
          <w:highlight w:val="none"/>
        </w:rPr>
        <w:t>其他不影响采购项目实质性要求的情形。</w:t>
      </w:r>
    </w:p>
    <w:p>
      <w:pPr>
        <w:pStyle w:val="37"/>
        <w:spacing w:line="520" w:lineRule="exact"/>
        <w:ind w:firstLine="480"/>
        <w:rPr>
          <w:color w:val="auto"/>
          <w:highlight w:val="none"/>
        </w:rPr>
      </w:pPr>
      <w:r>
        <w:rPr>
          <w:rFonts w:hint="eastAsia"/>
          <w:color w:val="auto"/>
          <w:highlight w:val="none"/>
        </w:rPr>
        <w:t>除法律制度规定的情形外，本项目投标人或者其投标文件有下列情形之一的，作为无效投标处理：</w:t>
      </w:r>
    </w:p>
    <w:p>
      <w:pPr>
        <w:pStyle w:val="38"/>
        <w:spacing w:line="520" w:lineRule="exact"/>
        <w:ind w:firstLine="480"/>
        <w:rPr>
          <w:color w:val="auto"/>
          <w:highlight w:val="none"/>
        </w:rPr>
      </w:pPr>
      <w:r>
        <w:rPr>
          <w:rFonts w:hint="eastAsia"/>
          <w:color w:val="auto"/>
          <w:highlight w:val="none"/>
        </w:rPr>
        <w:t>投标文件正副本数量不足的；</w:t>
      </w:r>
    </w:p>
    <w:p>
      <w:pPr>
        <w:pStyle w:val="38"/>
        <w:spacing w:line="520" w:lineRule="exact"/>
        <w:ind w:firstLine="480"/>
        <w:rPr>
          <w:color w:val="auto"/>
          <w:highlight w:val="none"/>
        </w:rPr>
      </w:pPr>
      <w:r>
        <w:rPr>
          <w:rFonts w:hint="eastAsia"/>
          <w:color w:val="auto"/>
          <w:highlight w:val="none"/>
        </w:rPr>
        <w:t>投标文件组成明显不符合招标文件的规定要求，影响评标委员会评判的；</w:t>
      </w:r>
    </w:p>
    <w:p>
      <w:pPr>
        <w:pStyle w:val="38"/>
        <w:spacing w:line="520" w:lineRule="exact"/>
        <w:ind w:firstLine="480"/>
        <w:rPr>
          <w:color w:val="auto"/>
          <w:highlight w:val="none"/>
        </w:rPr>
      </w:pPr>
      <w:r>
        <w:rPr>
          <w:rFonts w:hint="eastAsia"/>
          <w:color w:val="auto"/>
          <w:highlight w:val="none"/>
        </w:rPr>
        <w:t>投标文件的格式、语言、计量单位、报价货币、知识产权、投标有效期等不符合招标文件的规定，影响评标委员会评判的；</w:t>
      </w:r>
    </w:p>
    <w:p>
      <w:pPr>
        <w:pStyle w:val="38"/>
        <w:spacing w:line="520" w:lineRule="exact"/>
        <w:ind w:firstLine="480"/>
        <w:rPr>
          <w:color w:val="auto"/>
          <w:highlight w:val="none"/>
        </w:rPr>
      </w:pPr>
      <w:r>
        <w:rPr>
          <w:rFonts w:hint="eastAsia"/>
          <w:color w:val="auto"/>
          <w:highlight w:val="none"/>
        </w:rPr>
        <w:t>投标报价不符合招标文件规定的价格标底和其他报价规定的；</w:t>
      </w:r>
    </w:p>
    <w:p>
      <w:pPr>
        <w:pStyle w:val="38"/>
        <w:spacing w:line="520" w:lineRule="exact"/>
        <w:ind w:firstLine="480"/>
        <w:rPr>
          <w:color w:val="auto"/>
          <w:highlight w:val="none"/>
        </w:rPr>
      </w:pPr>
      <w:r>
        <w:rPr>
          <w:rFonts w:hint="eastAsia"/>
          <w:color w:val="auto"/>
          <w:highlight w:val="none"/>
        </w:rPr>
        <w:t>技术、服务应答内容没有完全响应招标文件的实质性要求的；</w:t>
      </w:r>
    </w:p>
    <w:p>
      <w:pPr>
        <w:pStyle w:val="38"/>
        <w:spacing w:line="520" w:lineRule="exact"/>
        <w:ind w:firstLine="480"/>
        <w:rPr>
          <w:color w:val="auto"/>
          <w:highlight w:val="none"/>
        </w:rPr>
      </w:pPr>
      <w:r>
        <w:rPr>
          <w:rFonts w:hint="eastAsia"/>
          <w:color w:val="auto"/>
          <w:highlight w:val="none"/>
        </w:rPr>
        <w:t>招标文件有明确要求，但投标文件未载明或者载明的采购项目履约时间、方式、数量与招标文件要求不一致的；</w:t>
      </w:r>
    </w:p>
    <w:p>
      <w:pPr>
        <w:pStyle w:val="38"/>
        <w:spacing w:line="520" w:lineRule="exact"/>
        <w:ind w:firstLine="480"/>
        <w:rPr>
          <w:color w:val="auto"/>
          <w:highlight w:val="none"/>
        </w:rPr>
      </w:pPr>
      <w:r>
        <w:rPr>
          <w:rFonts w:hint="eastAsia"/>
          <w:color w:val="auto"/>
          <w:highlight w:val="none"/>
        </w:rPr>
        <w:t>投标文件含有采购人不能接受的附加条件的。</w:t>
      </w:r>
    </w:p>
    <w:p>
      <w:pPr>
        <w:tabs>
          <w:tab w:val="left" w:pos="851"/>
        </w:tabs>
        <w:spacing w:line="520" w:lineRule="exact"/>
        <w:ind w:firstLine="480" w:firstLineChars="200"/>
        <w:rPr>
          <w:color w:val="auto"/>
          <w:highlight w:val="none"/>
        </w:rPr>
      </w:pPr>
      <w:r>
        <w:rPr>
          <w:rFonts w:hint="eastAsia"/>
          <w:color w:val="auto"/>
          <w:highlight w:val="none"/>
        </w:rPr>
        <w:t>注：①投标人的投标文件应全部通过上述符合性审查内容；如有任意一项未通过的，应在符合性审查报告中载明未通过的具体原因，该投标人的投标文件按无效投标文件处理。</w:t>
      </w:r>
    </w:p>
    <w:p>
      <w:pPr>
        <w:pStyle w:val="38"/>
        <w:numPr>
          <w:ilvl w:val="3"/>
          <w:numId w:val="0"/>
        </w:numPr>
        <w:spacing w:line="520" w:lineRule="exact"/>
        <w:ind w:left="480" w:leftChars="200"/>
        <w:rPr>
          <w:color w:val="auto"/>
          <w:highlight w:val="none"/>
        </w:rPr>
      </w:pPr>
      <w:r>
        <w:rPr>
          <w:rFonts w:hint="eastAsia"/>
          <w:color w:val="auto"/>
          <w:highlight w:val="none"/>
        </w:rPr>
        <w:t>②通过符合性审查的投标人＜3家，本项目采购失败。</w:t>
      </w:r>
    </w:p>
    <w:p>
      <w:pPr>
        <w:pStyle w:val="34"/>
        <w:spacing w:line="520" w:lineRule="exact"/>
        <w:ind w:firstLine="480"/>
        <w:rPr>
          <w:color w:val="auto"/>
          <w:highlight w:val="none"/>
        </w:rPr>
      </w:pPr>
      <w:r>
        <w:rPr>
          <w:rFonts w:hint="eastAsia"/>
          <w:color w:val="auto"/>
          <w:highlight w:val="none"/>
        </w:rPr>
        <w:t>比较与评价</w:t>
      </w:r>
    </w:p>
    <w:p>
      <w:pPr>
        <w:pStyle w:val="48"/>
        <w:spacing w:line="520" w:lineRule="exact"/>
        <w:rPr>
          <w:color w:val="auto"/>
          <w:highlight w:val="none"/>
        </w:rPr>
      </w:pPr>
      <w:r>
        <w:rPr>
          <w:rFonts w:hint="eastAsia"/>
          <w:color w:val="auto"/>
          <w:highlight w:val="none"/>
        </w:rPr>
        <w:t>评标委员会应当按照招标文件中规定的评标方法和标准，对符合性审查合格的投标文件进行商务和技术评估，综合比较与评价。</w:t>
      </w:r>
    </w:p>
    <w:p>
      <w:pPr>
        <w:pStyle w:val="34"/>
        <w:spacing w:line="520" w:lineRule="exact"/>
        <w:ind w:firstLine="480"/>
        <w:rPr>
          <w:color w:val="auto"/>
          <w:highlight w:val="none"/>
        </w:rPr>
      </w:pPr>
      <w:r>
        <w:rPr>
          <w:rFonts w:hint="eastAsia"/>
          <w:color w:val="auto"/>
          <w:highlight w:val="none"/>
        </w:rPr>
        <w:t>评标争议处理规则</w:t>
      </w:r>
    </w:p>
    <w:p>
      <w:pPr>
        <w:pStyle w:val="48"/>
        <w:spacing w:line="520" w:lineRule="exact"/>
        <w:rPr>
          <w:color w:val="auto"/>
          <w:highlight w:val="none"/>
        </w:rPr>
      </w:pPr>
      <w:r>
        <w:rPr>
          <w:rFonts w:hint="eastAsia"/>
          <w:color w:val="auto"/>
          <w:highlight w:val="none"/>
        </w:rPr>
        <w:t>评标委员会成员在评标过程中，对于符合性审查、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pStyle w:val="34"/>
        <w:spacing w:line="520" w:lineRule="exact"/>
        <w:ind w:firstLine="480"/>
        <w:rPr>
          <w:color w:val="auto"/>
          <w:highlight w:val="none"/>
        </w:rPr>
      </w:pPr>
      <w:r>
        <w:rPr>
          <w:rFonts w:hint="eastAsia"/>
          <w:color w:val="auto"/>
          <w:highlight w:val="none"/>
        </w:rPr>
        <w:t>澄清、说明或者纠正</w:t>
      </w:r>
    </w:p>
    <w:p>
      <w:pPr>
        <w:pStyle w:val="37"/>
        <w:spacing w:line="520" w:lineRule="exact"/>
        <w:ind w:firstLine="480"/>
        <w:rPr>
          <w:color w:val="auto"/>
          <w:highlight w:val="none"/>
        </w:rPr>
      </w:pPr>
      <w:r>
        <w:rPr>
          <w:rFonts w:hint="eastAsia"/>
          <w:color w:val="auto"/>
          <w:highlight w:val="none"/>
        </w:rPr>
        <w:t>评标过程中，评标委员会认为招标文件有关事项表述不明确或需要说明的，可以提请采购代理机构书面解释。采购代理机构的解释不得改变招标文件的原义或者影响公平、公正，解释事项如果涉及投标人权益的以有利于投标人的原则进行解释。</w:t>
      </w:r>
    </w:p>
    <w:p>
      <w:pPr>
        <w:pStyle w:val="37"/>
        <w:spacing w:line="520" w:lineRule="exact"/>
        <w:ind w:firstLine="480"/>
        <w:rPr>
          <w:color w:val="auto"/>
          <w:highlight w:val="none"/>
        </w:rPr>
      </w:pPr>
      <w:r>
        <w:rPr>
          <w:rFonts w:hint="eastAsia"/>
          <w:color w:val="auto"/>
          <w:highlight w:val="none"/>
        </w:rPr>
        <w:t>在评标过程中，评标委员会对投标文件中含义不明确、同类问题表述不一致或者有明显文字和计算错误的内容，应当以书面形式(须由评标委员会全体成员签字)要求供应商作出必要的书面澄清、说明或者纠正，并给予供应商必要的反馈时间。</w:t>
      </w:r>
    </w:p>
    <w:p>
      <w:pPr>
        <w:pStyle w:val="37"/>
        <w:spacing w:line="520" w:lineRule="exact"/>
        <w:ind w:firstLine="480"/>
        <w:rPr>
          <w:color w:val="auto"/>
          <w:highlight w:val="none"/>
        </w:rPr>
      </w:pPr>
      <w:r>
        <w:rPr>
          <w:rFonts w:hint="eastAsia"/>
          <w:color w:val="auto"/>
          <w:highlight w:val="none"/>
        </w:rPr>
        <w:t>供应商应当书面澄清、说明或者纠正，并加盖公章或签字确认(供应商为法人的，应当由其法定代表人或者代理人签字确认；供应商为其他组织的，应当由其主要负责人或者代理人签字确认；供应商为自然人的，应当由其本人或者代理人签字确认)，否则无效。澄清、说明或者纠正不影响投标文件的效力，有效的澄清、说明或者纠正材料，是投标文件的组成部分。</w:t>
      </w:r>
    </w:p>
    <w:p>
      <w:pPr>
        <w:pStyle w:val="37"/>
        <w:spacing w:line="520" w:lineRule="exact"/>
        <w:ind w:firstLine="480"/>
        <w:rPr>
          <w:color w:val="auto"/>
          <w:highlight w:val="none"/>
        </w:rPr>
      </w:pPr>
      <w:r>
        <w:rPr>
          <w:rFonts w:hint="eastAsia"/>
          <w:color w:val="auto"/>
          <w:highlight w:val="none"/>
        </w:rPr>
        <w:t>评标委员会要求供应商澄清、说明或者更正，不得超出招标文件的范围，不得以此让供应商实质改变投标文件的内容，不得影响供应商公平竞争。本项目下列内容不得澄清：</w:t>
      </w:r>
    </w:p>
    <w:p>
      <w:pPr>
        <w:pStyle w:val="38"/>
        <w:spacing w:line="520" w:lineRule="exact"/>
        <w:ind w:firstLine="480"/>
        <w:rPr>
          <w:color w:val="auto"/>
          <w:highlight w:val="none"/>
        </w:rPr>
      </w:pPr>
      <w:r>
        <w:rPr>
          <w:rFonts w:hint="eastAsia"/>
          <w:color w:val="auto"/>
          <w:highlight w:val="none"/>
        </w:rPr>
        <w:t>按财政部规定应当在评标时不予承认的投标文件内容事项；</w:t>
      </w:r>
    </w:p>
    <w:p>
      <w:pPr>
        <w:pStyle w:val="38"/>
        <w:spacing w:line="520" w:lineRule="exact"/>
        <w:ind w:firstLine="480"/>
        <w:rPr>
          <w:color w:val="auto"/>
          <w:highlight w:val="none"/>
        </w:rPr>
      </w:pPr>
      <w:r>
        <w:rPr>
          <w:rFonts w:hint="eastAsia"/>
          <w:color w:val="auto"/>
          <w:highlight w:val="none"/>
        </w:rPr>
        <w:t>投标文件中已经明确的内容事项；</w:t>
      </w:r>
    </w:p>
    <w:p>
      <w:pPr>
        <w:pStyle w:val="38"/>
        <w:spacing w:line="520" w:lineRule="exact"/>
        <w:ind w:firstLine="480"/>
        <w:rPr>
          <w:color w:val="auto"/>
          <w:highlight w:val="none"/>
        </w:rPr>
      </w:pPr>
      <w:r>
        <w:rPr>
          <w:rFonts w:hint="eastAsia"/>
          <w:color w:val="auto"/>
          <w:highlight w:val="none"/>
        </w:rPr>
        <w:t>投标文件未提供的材料。</w:t>
      </w:r>
    </w:p>
    <w:p>
      <w:pPr>
        <w:pStyle w:val="37"/>
        <w:spacing w:line="520" w:lineRule="exact"/>
        <w:ind w:firstLine="480"/>
        <w:rPr>
          <w:color w:val="auto"/>
          <w:highlight w:val="none"/>
        </w:rPr>
      </w:pPr>
      <w:r>
        <w:rPr>
          <w:rFonts w:hint="eastAsia"/>
          <w:color w:val="auto"/>
          <w:highlight w:val="none"/>
        </w:rPr>
        <w:t>本项目采购过程中，投标文件出现下列情况的，不需要供应商澄清、说明或者纠正，按照以下原则处理：</w:t>
      </w:r>
    </w:p>
    <w:p>
      <w:pPr>
        <w:pStyle w:val="38"/>
        <w:spacing w:line="520" w:lineRule="exact"/>
        <w:ind w:firstLine="480"/>
        <w:rPr>
          <w:color w:val="auto"/>
          <w:highlight w:val="none"/>
        </w:rPr>
      </w:pPr>
      <w:r>
        <w:rPr>
          <w:rFonts w:hint="eastAsia"/>
          <w:color w:val="auto"/>
          <w:highlight w:val="none"/>
        </w:rPr>
        <w:t>投标文件的大写金额和小写金额不一致的，以大写金额为准，但大写金额出现文字错误，导致金额无法判断的除外；</w:t>
      </w:r>
    </w:p>
    <w:p>
      <w:pPr>
        <w:pStyle w:val="38"/>
        <w:spacing w:line="520" w:lineRule="exact"/>
        <w:ind w:firstLine="480"/>
        <w:rPr>
          <w:color w:val="auto"/>
          <w:highlight w:val="none"/>
        </w:rPr>
      </w:pPr>
      <w:r>
        <w:rPr>
          <w:rFonts w:hint="eastAsia"/>
          <w:color w:val="auto"/>
          <w:highlight w:val="none"/>
        </w:rPr>
        <w:t>总价金额与按单价汇总金额不一致的，以单价汇总金额计算结果为准，但是单价金额出现计算错误、明显人为工作失误的除外；</w:t>
      </w:r>
    </w:p>
    <w:p>
      <w:pPr>
        <w:pStyle w:val="38"/>
        <w:spacing w:line="520" w:lineRule="exact"/>
        <w:ind w:firstLine="480"/>
        <w:rPr>
          <w:color w:val="auto"/>
          <w:highlight w:val="none"/>
        </w:rPr>
      </w:pPr>
      <w:r>
        <w:rPr>
          <w:rFonts w:hint="eastAsia"/>
          <w:color w:val="auto"/>
          <w:highlight w:val="none"/>
        </w:rPr>
        <w:t>单价金额小数点有明显错位的，应以总价为准，并修改单价；</w:t>
      </w:r>
    </w:p>
    <w:p>
      <w:pPr>
        <w:pStyle w:val="38"/>
        <w:spacing w:line="520" w:lineRule="exact"/>
        <w:ind w:firstLine="480"/>
        <w:rPr>
          <w:color w:val="auto"/>
          <w:highlight w:val="none"/>
        </w:rPr>
      </w:pPr>
      <w:r>
        <w:rPr>
          <w:rFonts w:hint="eastAsia"/>
          <w:color w:val="auto"/>
          <w:highlight w:val="none"/>
        </w:rPr>
        <w:t>对不同语言文本投标文件的解释发生异议的，以中文文本为准。</w:t>
      </w:r>
    </w:p>
    <w:p>
      <w:pPr>
        <w:pStyle w:val="48"/>
        <w:spacing w:line="520" w:lineRule="exact"/>
        <w:rPr>
          <w:color w:val="auto"/>
          <w:highlight w:val="none"/>
        </w:rPr>
      </w:pPr>
      <w:r>
        <w:rPr>
          <w:rFonts w:hint="eastAsia"/>
          <w:color w:val="auto"/>
          <w:highlight w:val="none"/>
        </w:rPr>
        <w:t>出现本条第5.2项规定情形，单价汇总金额比总价金额高，且超过本项目最高限价的，供应商投标文件应作为无效投标处理；单价汇总金额比总价金额高，但未超过本项目最高限价的，应以单价汇总金额作为价格评分依据。</w:t>
      </w:r>
    </w:p>
    <w:p>
      <w:pPr>
        <w:pStyle w:val="49"/>
        <w:spacing w:line="520" w:lineRule="exact"/>
        <w:ind w:firstLine="482"/>
        <w:rPr>
          <w:color w:val="auto"/>
          <w:highlight w:val="none"/>
        </w:rPr>
      </w:pPr>
      <w:r>
        <w:rPr>
          <w:rFonts w:hint="eastAsia"/>
          <w:color w:val="auto"/>
          <w:highlight w:val="none"/>
        </w:rPr>
        <w:t>注：评标委员会成员应当积极履行澄清、说明或者纠正的职责，不得将应当澄清、说明或者纠正的投标文件作无效投标处理。</w:t>
      </w:r>
    </w:p>
    <w:p>
      <w:pPr>
        <w:pStyle w:val="34"/>
        <w:spacing w:line="520" w:lineRule="exact"/>
        <w:ind w:firstLine="480"/>
        <w:rPr>
          <w:color w:val="auto"/>
          <w:highlight w:val="none"/>
        </w:rPr>
      </w:pPr>
      <w:r>
        <w:rPr>
          <w:rFonts w:hint="eastAsia"/>
          <w:color w:val="auto"/>
          <w:highlight w:val="none"/>
        </w:rPr>
        <w:t>投标文件报价出现前后不一致的，除招标文件另有规定外，按照下列规定修正：</w:t>
      </w:r>
    </w:p>
    <w:p>
      <w:pPr>
        <w:pStyle w:val="37"/>
        <w:spacing w:line="520" w:lineRule="exact"/>
        <w:ind w:firstLine="480"/>
        <w:rPr>
          <w:color w:val="auto"/>
          <w:highlight w:val="none"/>
        </w:rPr>
      </w:pPr>
      <w:r>
        <w:rPr>
          <w:rFonts w:hint="eastAsia"/>
          <w:color w:val="auto"/>
          <w:highlight w:val="none"/>
        </w:rPr>
        <w:t>投标文件中开标一览表(报价表)内容与投标文件中相应内容不一致的，以开标唱标时单独提交的开标一览表(报价表)为准；</w:t>
      </w:r>
    </w:p>
    <w:p>
      <w:pPr>
        <w:pStyle w:val="37"/>
        <w:spacing w:line="520" w:lineRule="exact"/>
        <w:ind w:firstLine="480"/>
        <w:rPr>
          <w:color w:val="auto"/>
          <w:highlight w:val="none"/>
        </w:rPr>
      </w:pPr>
      <w:r>
        <w:rPr>
          <w:rFonts w:hint="eastAsia"/>
          <w:color w:val="auto"/>
          <w:highlight w:val="none"/>
        </w:rPr>
        <w:t>大写金额和小写金额不一致的，以大写金额为准；</w:t>
      </w:r>
    </w:p>
    <w:p>
      <w:pPr>
        <w:pStyle w:val="37"/>
        <w:spacing w:line="520" w:lineRule="exact"/>
        <w:ind w:firstLine="480"/>
        <w:rPr>
          <w:color w:val="auto"/>
          <w:highlight w:val="none"/>
        </w:rPr>
      </w:pPr>
      <w:r>
        <w:rPr>
          <w:rFonts w:hint="eastAsia"/>
          <w:color w:val="auto"/>
          <w:highlight w:val="none"/>
        </w:rPr>
        <w:t>单价金额小数点或者百分比有明显错位的，以开标一览表的总价为准，并修改单价；</w:t>
      </w:r>
    </w:p>
    <w:p>
      <w:pPr>
        <w:pStyle w:val="37"/>
        <w:spacing w:line="520" w:lineRule="exact"/>
        <w:ind w:firstLine="480"/>
        <w:rPr>
          <w:color w:val="auto"/>
          <w:highlight w:val="none"/>
        </w:rPr>
      </w:pPr>
      <w:r>
        <w:rPr>
          <w:rFonts w:hint="eastAsia"/>
          <w:color w:val="auto"/>
          <w:highlight w:val="none"/>
        </w:rPr>
        <w:t>总价金额与按单价汇总金额不一致的，以单价金额计算结果为准。</w:t>
      </w:r>
    </w:p>
    <w:p>
      <w:pPr>
        <w:pStyle w:val="49"/>
        <w:spacing w:line="520" w:lineRule="exact"/>
        <w:ind w:firstLine="482"/>
        <w:rPr>
          <w:color w:val="auto"/>
          <w:highlight w:val="none"/>
        </w:rPr>
      </w:pPr>
      <w:r>
        <w:rPr>
          <w:rFonts w:hint="eastAsia"/>
          <w:color w:val="auto"/>
          <w:highlight w:val="none"/>
        </w:rPr>
        <w:t>同时出现两种以上不一致的，按照前款规定的顺序修正。修正后的报价按照《政府采购货物和服务招标投标管理办法》(财政部令第87号)第五十一条第二款的规定经投标人确认后产生约束力，投标人不确认的，其投标无效。</w:t>
      </w:r>
    </w:p>
    <w:p>
      <w:pPr>
        <w:pStyle w:val="34"/>
        <w:spacing w:line="520" w:lineRule="exact"/>
        <w:ind w:firstLine="480"/>
        <w:rPr>
          <w:color w:val="auto"/>
          <w:highlight w:val="none"/>
        </w:rPr>
      </w:pPr>
      <w:r>
        <w:rPr>
          <w:rFonts w:hint="eastAsia"/>
          <w:color w:val="auto"/>
          <w:highlight w:val="none"/>
        </w:rPr>
        <w:t>低于成本价投标处理</w:t>
      </w:r>
    </w:p>
    <w:p>
      <w:pPr>
        <w:pStyle w:val="37"/>
        <w:spacing w:line="520" w:lineRule="exact"/>
        <w:ind w:firstLine="480"/>
        <w:rPr>
          <w:color w:val="auto"/>
          <w:highlight w:val="none"/>
        </w:rPr>
      </w:pPr>
      <w:r>
        <w:rPr>
          <w:rFonts w:hint="eastAsia"/>
          <w:color w:val="auto"/>
          <w:highlight w:val="none"/>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供应商书面说明应当按照国家财务会计制度的规定要求，逐项就供应商提供的货物、工程和服务的主营业务成本(应根据供应商企业类型予以区别)、税金及附加、销售费用、管理费用、财务费用等成本构成事项详细陈述[若投标文件未附财务报告的，则还需提供完整的财务状况报告(含三表一附注)]。</w:t>
      </w:r>
    </w:p>
    <w:p>
      <w:pPr>
        <w:pStyle w:val="37"/>
        <w:spacing w:line="520" w:lineRule="exact"/>
        <w:ind w:firstLine="480"/>
        <w:rPr>
          <w:color w:val="auto"/>
          <w:highlight w:val="none"/>
        </w:rPr>
      </w:pPr>
      <w:r>
        <w:rPr>
          <w:rFonts w:hint="eastAsia"/>
          <w:color w:val="auto"/>
          <w:highlight w:val="none"/>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37"/>
        <w:spacing w:line="520" w:lineRule="exact"/>
        <w:ind w:firstLine="480"/>
        <w:rPr>
          <w:color w:val="auto"/>
          <w:highlight w:val="none"/>
        </w:rPr>
      </w:pPr>
      <w:r>
        <w:rPr>
          <w:rFonts w:hint="eastAsia"/>
          <w:color w:val="auto"/>
          <w:highlight w:val="none"/>
        </w:rPr>
        <w:t>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投标文件作为无效处理。</w:t>
      </w:r>
    </w:p>
    <w:p>
      <w:pPr>
        <w:pStyle w:val="36"/>
        <w:numPr>
          <w:ilvl w:val="1"/>
          <w:numId w:val="15"/>
        </w:numPr>
        <w:spacing w:line="520" w:lineRule="exact"/>
        <w:ind w:firstLine="482"/>
        <w:rPr>
          <w:color w:val="auto"/>
          <w:highlight w:val="none"/>
        </w:rPr>
      </w:pPr>
      <w:bookmarkStart w:id="1252" w:name="_Toc307564897"/>
      <w:bookmarkStart w:id="1253" w:name="_Toc217446103"/>
      <w:bookmarkStart w:id="1254" w:name="_Toc327196342"/>
      <w:bookmarkStart w:id="1255" w:name="_Toc1756"/>
      <w:bookmarkStart w:id="1256" w:name="_Toc308084646"/>
      <w:bookmarkStart w:id="1257" w:name="_Toc23187"/>
      <w:bookmarkStart w:id="1258" w:name="_Toc24909"/>
      <w:bookmarkStart w:id="1259" w:name="_Toc25587"/>
      <w:bookmarkStart w:id="1260" w:name="_Toc26213"/>
      <w:bookmarkStart w:id="1261" w:name="_Toc30417"/>
      <w:bookmarkStart w:id="1262" w:name="_Toc23140"/>
      <w:bookmarkStart w:id="1263" w:name="_Toc308188199"/>
      <w:bookmarkStart w:id="1264" w:name="_Toc307501155"/>
      <w:bookmarkStart w:id="1265" w:name="_Toc309897564"/>
      <w:bookmarkStart w:id="1266" w:name="_Toc21397"/>
      <w:bookmarkStart w:id="1267" w:name="_Toc23454"/>
      <w:bookmarkStart w:id="1268" w:name="_Toc319439947"/>
      <w:bookmarkStart w:id="1269" w:name="_Toc22389"/>
      <w:bookmarkStart w:id="1270" w:name="_Toc2106"/>
      <w:bookmarkStart w:id="1271" w:name="_Toc27402"/>
      <w:bookmarkStart w:id="1272" w:name="_Toc24902"/>
      <w:bookmarkStart w:id="1273" w:name="_Toc319440191"/>
      <w:r>
        <w:rPr>
          <w:rFonts w:hint="eastAsia"/>
          <w:color w:val="auto"/>
          <w:highlight w:val="none"/>
        </w:rPr>
        <w:t>评标细则及标准</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pPr>
        <w:pStyle w:val="34"/>
        <w:numPr>
          <w:ilvl w:val="1"/>
          <w:numId w:val="37"/>
        </w:numPr>
        <w:spacing w:line="520" w:lineRule="exact"/>
        <w:ind w:firstLine="480"/>
        <w:rPr>
          <w:color w:val="auto"/>
          <w:highlight w:val="none"/>
        </w:rPr>
      </w:pPr>
      <w:r>
        <w:rPr>
          <w:rFonts w:hint="eastAsia"/>
          <w:color w:val="auto"/>
          <w:highlight w:val="none"/>
        </w:rPr>
        <w:t>评委会只对通过符合性检查的投标文件，根据招标文件的要求采用相同的评标程序、评分办法及标准进行评价和比较。</w:t>
      </w:r>
    </w:p>
    <w:p>
      <w:pPr>
        <w:pStyle w:val="34"/>
        <w:numPr>
          <w:ilvl w:val="1"/>
          <w:numId w:val="37"/>
        </w:numPr>
        <w:spacing w:line="520" w:lineRule="exact"/>
        <w:ind w:firstLine="480"/>
        <w:rPr>
          <w:color w:val="auto"/>
          <w:highlight w:val="none"/>
        </w:rPr>
      </w:pPr>
      <w:r>
        <w:rPr>
          <w:rFonts w:hint="eastAsia"/>
          <w:color w:val="auto"/>
          <w:highlight w:val="none"/>
        </w:rPr>
        <w:t>本次综合评分的因素是：详见“综合评分明细表中的评分因素及权重”。</w:t>
      </w:r>
    </w:p>
    <w:p>
      <w:pPr>
        <w:pStyle w:val="34"/>
        <w:numPr>
          <w:ilvl w:val="1"/>
          <w:numId w:val="37"/>
        </w:numPr>
        <w:spacing w:line="520" w:lineRule="exact"/>
        <w:ind w:firstLine="480"/>
        <w:rPr>
          <w:color w:val="auto"/>
          <w:highlight w:val="none"/>
        </w:rPr>
      </w:pPr>
      <w:r>
        <w:rPr>
          <w:rFonts w:hint="eastAsia"/>
          <w:color w:val="auto"/>
          <w:highlight w:val="none"/>
        </w:rPr>
        <w:t>除价格因素外，评标委员会成员应当根据自身专业情况独立对每个有效投标人的投标文件进行评价、打分。采购人代表原则上对技术、与技术有关的服务及其他技术类评分因素独立评分。价格及其他不能明确区分的评分因素由评标委员会成员共同评分。</w:t>
      </w:r>
    </w:p>
    <w:p>
      <w:pPr>
        <w:pStyle w:val="34"/>
        <w:numPr>
          <w:ilvl w:val="1"/>
          <w:numId w:val="37"/>
        </w:numPr>
        <w:spacing w:line="520" w:lineRule="exact"/>
        <w:ind w:firstLine="480"/>
        <w:rPr>
          <w:color w:val="auto"/>
          <w:highlight w:val="none"/>
        </w:rPr>
      </w:pPr>
      <w:r>
        <w:rPr>
          <w:rFonts w:hint="eastAsia"/>
          <w:color w:val="auto"/>
          <w:highlight w:val="none"/>
        </w:rPr>
        <w:t>评审得分计算方法</w:t>
      </w:r>
    </w:p>
    <w:p>
      <w:pPr>
        <w:spacing w:line="520" w:lineRule="exact"/>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评审得分＝(A1＋A2＋……＋An)/NA＋(B1＋B2＋……＋Bn)/ NB＋(C1＋C2＋……＋Cn)/ NC＋(D1＋D2＋……＋Dn)/ND</w:t>
      </w:r>
    </w:p>
    <w:p>
      <w:pPr>
        <w:spacing w:line="520" w:lineRule="exact"/>
        <w:ind w:firstLine="480" w:firstLineChars="200"/>
        <w:rPr>
          <w:color w:val="auto"/>
          <w:highlight w:val="none"/>
        </w:rPr>
      </w:pPr>
      <w:r>
        <w:rPr>
          <w:rFonts w:hint="eastAsia" w:asciiTheme="minorEastAsia" w:hAnsiTheme="minorEastAsia" w:eastAsiaTheme="minorEastAsia" w:cstheme="minorEastAsia"/>
          <w:color w:val="auto"/>
          <w:highlight w:val="none"/>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分别为评审委员会每个成员的打分(共同评分类)，ND为评审委员会人数。</w:t>
      </w:r>
    </w:p>
    <w:p>
      <w:pPr>
        <w:pStyle w:val="34"/>
        <w:spacing w:line="520" w:lineRule="exact"/>
        <w:ind w:firstLine="480"/>
        <w:rPr>
          <w:color w:val="auto"/>
          <w:highlight w:val="none"/>
        </w:rPr>
      </w:pPr>
      <w:r>
        <w:rPr>
          <w:rFonts w:hint="eastAsia"/>
          <w:color w:val="auto"/>
          <w:highlight w:val="none"/>
        </w:rPr>
        <w:t>综合评分明细表</w:t>
      </w:r>
    </w:p>
    <w:p>
      <w:pPr>
        <w:pStyle w:val="37"/>
        <w:spacing w:line="520" w:lineRule="exact"/>
        <w:ind w:firstLine="480"/>
        <w:rPr>
          <w:color w:val="auto"/>
          <w:highlight w:val="none"/>
        </w:rPr>
      </w:pPr>
      <w:r>
        <w:rPr>
          <w:rFonts w:hint="eastAsia"/>
          <w:color w:val="auto"/>
          <w:highlight w:val="none"/>
        </w:rPr>
        <w:t>综合评分明细表的制定以科学合理、降低评委会自由裁量权为原则。</w:t>
      </w:r>
    </w:p>
    <w:p>
      <w:pPr>
        <w:pStyle w:val="37"/>
        <w:spacing w:line="520" w:lineRule="exact"/>
        <w:ind w:firstLine="480"/>
        <w:rPr>
          <w:color w:val="auto"/>
          <w:highlight w:val="none"/>
        </w:rPr>
      </w:pPr>
      <w:r>
        <w:rPr>
          <w:rFonts w:hint="eastAsia"/>
          <w:color w:val="auto"/>
          <w:highlight w:val="none"/>
        </w:rPr>
        <w:t>综合评分明细表</w:t>
      </w:r>
    </w:p>
    <w:tbl>
      <w:tblPr>
        <w:tblStyle w:val="23"/>
        <w:tblW w:w="49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106"/>
        <w:gridCol w:w="942"/>
        <w:gridCol w:w="6213"/>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3" w:type="pct"/>
            <w:vAlign w:val="center"/>
          </w:tcPr>
          <w:p>
            <w:pPr>
              <w:spacing w:line="360" w:lineRule="exact"/>
              <w:jc w:val="center"/>
              <w:rPr>
                <w:rFonts w:cs="宋体"/>
                <w:b/>
                <w:bCs/>
                <w:color w:val="auto"/>
                <w:sz w:val="21"/>
                <w:szCs w:val="21"/>
                <w:highlight w:val="none"/>
              </w:rPr>
            </w:pPr>
            <w:bookmarkStart w:id="1274" w:name="_Hlk98625475"/>
            <w:bookmarkStart w:id="1275" w:name="_Toc13245"/>
            <w:bookmarkStart w:id="1276" w:name="_Toc2682"/>
            <w:bookmarkStart w:id="1277" w:name="_Toc21671"/>
            <w:bookmarkStart w:id="1278" w:name="_Toc13513"/>
            <w:bookmarkStart w:id="1279" w:name="_Toc4648"/>
            <w:bookmarkStart w:id="1280" w:name="_Toc21363"/>
            <w:r>
              <w:rPr>
                <w:rFonts w:hint="eastAsia" w:cs="宋体"/>
                <w:b/>
                <w:bCs/>
                <w:color w:val="auto"/>
                <w:sz w:val="21"/>
                <w:szCs w:val="21"/>
                <w:highlight w:val="none"/>
              </w:rPr>
              <w:t>序号</w:t>
            </w:r>
          </w:p>
        </w:tc>
        <w:tc>
          <w:tcPr>
            <w:tcW w:w="557" w:type="pct"/>
            <w:vAlign w:val="center"/>
          </w:tcPr>
          <w:p>
            <w:pPr>
              <w:spacing w:line="360" w:lineRule="exact"/>
              <w:jc w:val="center"/>
              <w:rPr>
                <w:rFonts w:cs="宋体"/>
                <w:b/>
                <w:bCs/>
                <w:color w:val="auto"/>
                <w:sz w:val="21"/>
                <w:szCs w:val="21"/>
                <w:highlight w:val="none"/>
              </w:rPr>
            </w:pPr>
            <w:r>
              <w:rPr>
                <w:rFonts w:hint="eastAsia" w:cs="宋体"/>
                <w:b/>
                <w:bCs/>
                <w:color w:val="auto"/>
                <w:sz w:val="21"/>
                <w:szCs w:val="21"/>
                <w:highlight w:val="none"/>
              </w:rPr>
              <w:t>评分因素及权重</w:t>
            </w:r>
          </w:p>
        </w:tc>
        <w:tc>
          <w:tcPr>
            <w:tcW w:w="474" w:type="pct"/>
            <w:vAlign w:val="center"/>
          </w:tcPr>
          <w:p>
            <w:pPr>
              <w:spacing w:line="360" w:lineRule="exact"/>
              <w:jc w:val="center"/>
              <w:rPr>
                <w:rFonts w:cs="宋体"/>
                <w:b/>
                <w:bCs/>
                <w:color w:val="auto"/>
                <w:sz w:val="21"/>
                <w:szCs w:val="21"/>
                <w:highlight w:val="none"/>
              </w:rPr>
            </w:pPr>
            <w:r>
              <w:rPr>
                <w:rFonts w:hint="eastAsia" w:cs="宋体"/>
                <w:b/>
                <w:bCs/>
                <w:color w:val="auto"/>
                <w:sz w:val="21"/>
                <w:szCs w:val="21"/>
                <w:highlight w:val="none"/>
              </w:rPr>
              <w:t>分值</w:t>
            </w:r>
          </w:p>
        </w:tc>
        <w:tc>
          <w:tcPr>
            <w:tcW w:w="3128" w:type="pct"/>
            <w:vAlign w:val="center"/>
          </w:tcPr>
          <w:p>
            <w:pPr>
              <w:spacing w:line="360" w:lineRule="exact"/>
              <w:jc w:val="center"/>
              <w:rPr>
                <w:rFonts w:cs="宋体"/>
                <w:b/>
                <w:bCs/>
                <w:color w:val="auto"/>
                <w:sz w:val="21"/>
                <w:szCs w:val="21"/>
                <w:highlight w:val="none"/>
              </w:rPr>
            </w:pPr>
            <w:r>
              <w:rPr>
                <w:rFonts w:hint="eastAsia" w:cs="宋体"/>
                <w:b/>
                <w:bCs/>
                <w:color w:val="auto"/>
                <w:sz w:val="21"/>
                <w:szCs w:val="21"/>
                <w:highlight w:val="none"/>
              </w:rPr>
              <w:t>评分标准</w:t>
            </w:r>
          </w:p>
        </w:tc>
        <w:tc>
          <w:tcPr>
            <w:tcW w:w="467" w:type="pct"/>
            <w:vAlign w:val="center"/>
          </w:tcPr>
          <w:p>
            <w:pPr>
              <w:spacing w:line="360" w:lineRule="exact"/>
              <w:jc w:val="center"/>
              <w:rPr>
                <w:rFonts w:cs="宋体"/>
                <w:b/>
                <w:bCs/>
                <w:color w:val="auto"/>
                <w:sz w:val="21"/>
                <w:szCs w:val="21"/>
                <w:highlight w:val="none"/>
              </w:rPr>
            </w:pPr>
            <w:r>
              <w:rPr>
                <w:rFonts w:hint="eastAsia" w:cs="宋体"/>
                <w:b/>
                <w:bCs/>
                <w:color w:val="auto"/>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373" w:type="pct"/>
            <w:vAlign w:val="center"/>
          </w:tcPr>
          <w:p>
            <w:pPr>
              <w:spacing w:line="360" w:lineRule="exact"/>
              <w:jc w:val="center"/>
              <w:rPr>
                <w:rFonts w:cs="宋体"/>
                <w:color w:val="auto"/>
                <w:sz w:val="21"/>
                <w:szCs w:val="21"/>
                <w:highlight w:val="none"/>
              </w:rPr>
            </w:pPr>
            <w:r>
              <w:rPr>
                <w:rFonts w:hint="eastAsia" w:cs="宋体"/>
                <w:color w:val="auto"/>
                <w:sz w:val="21"/>
                <w:szCs w:val="21"/>
                <w:highlight w:val="none"/>
              </w:rPr>
              <w:t>一</w:t>
            </w:r>
          </w:p>
        </w:tc>
        <w:tc>
          <w:tcPr>
            <w:tcW w:w="557" w:type="pct"/>
            <w:vAlign w:val="center"/>
          </w:tcPr>
          <w:p>
            <w:pPr>
              <w:spacing w:line="360" w:lineRule="exact"/>
              <w:jc w:val="center"/>
              <w:rPr>
                <w:rFonts w:cs="宋体"/>
                <w:color w:val="auto"/>
                <w:sz w:val="21"/>
                <w:szCs w:val="21"/>
                <w:highlight w:val="none"/>
              </w:rPr>
            </w:pPr>
            <w:r>
              <w:rPr>
                <w:rFonts w:hint="eastAsia" w:cs="宋体"/>
                <w:color w:val="auto"/>
                <w:sz w:val="21"/>
                <w:szCs w:val="21"/>
                <w:highlight w:val="none"/>
              </w:rPr>
              <w:t>投标报价</w:t>
            </w:r>
          </w:p>
          <w:p>
            <w:pPr>
              <w:spacing w:line="360" w:lineRule="exact"/>
              <w:jc w:val="center"/>
              <w:rPr>
                <w:rFonts w:cs="宋体"/>
                <w:color w:val="auto"/>
                <w:sz w:val="21"/>
                <w:szCs w:val="21"/>
                <w:highlight w:val="none"/>
              </w:rPr>
            </w:pPr>
            <w:r>
              <w:rPr>
                <w:rFonts w:hint="eastAsia" w:cs="宋体"/>
                <w:color w:val="auto"/>
                <w:sz w:val="21"/>
                <w:szCs w:val="21"/>
                <w:highlight w:val="none"/>
                <w:lang w:val="en-US" w:eastAsia="zh-CN"/>
              </w:rPr>
              <w:t>30</w:t>
            </w:r>
            <w:r>
              <w:rPr>
                <w:rFonts w:hint="eastAsia" w:cs="宋体"/>
                <w:color w:val="auto"/>
                <w:sz w:val="21"/>
                <w:szCs w:val="21"/>
                <w:highlight w:val="none"/>
              </w:rPr>
              <w:t>%</w:t>
            </w:r>
          </w:p>
        </w:tc>
        <w:tc>
          <w:tcPr>
            <w:tcW w:w="474" w:type="pct"/>
            <w:vAlign w:val="center"/>
          </w:tcPr>
          <w:p>
            <w:pPr>
              <w:spacing w:line="360" w:lineRule="exact"/>
              <w:jc w:val="center"/>
              <w:rPr>
                <w:rFonts w:cs="宋体"/>
                <w:color w:val="auto"/>
                <w:sz w:val="21"/>
                <w:szCs w:val="21"/>
                <w:highlight w:val="none"/>
              </w:rPr>
            </w:pPr>
            <w:r>
              <w:rPr>
                <w:rFonts w:hint="eastAsia" w:cs="宋体"/>
                <w:color w:val="auto"/>
                <w:sz w:val="21"/>
                <w:szCs w:val="21"/>
                <w:highlight w:val="none"/>
                <w:lang w:val="en-US" w:eastAsia="zh-CN"/>
              </w:rPr>
              <w:t>30</w:t>
            </w:r>
            <w:r>
              <w:rPr>
                <w:rFonts w:hint="eastAsia" w:cs="宋体"/>
                <w:color w:val="auto"/>
                <w:sz w:val="21"/>
                <w:szCs w:val="21"/>
                <w:highlight w:val="none"/>
              </w:rPr>
              <w:t>分</w:t>
            </w:r>
          </w:p>
        </w:tc>
        <w:tc>
          <w:tcPr>
            <w:tcW w:w="3128" w:type="pct"/>
            <w:vAlign w:val="center"/>
          </w:tcPr>
          <w:p>
            <w:pPr>
              <w:spacing w:line="360" w:lineRule="exact"/>
              <w:rPr>
                <w:rFonts w:cs="宋体"/>
                <w:color w:val="auto"/>
                <w:sz w:val="21"/>
                <w:szCs w:val="21"/>
                <w:highlight w:val="none"/>
              </w:rPr>
            </w:pPr>
            <w:r>
              <w:rPr>
                <w:rFonts w:hint="eastAsia" w:cs="宋体"/>
                <w:color w:val="auto"/>
                <w:sz w:val="21"/>
                <w:szCs w:val="21"/>
                <w:highlight w:val="none"/>
              </w:rPr>
              <w:t>满足招标文件要求且投标价格最低的投标报价为评标基准价，其价格分为满分。其他投标人的价格分统一按照下列公式计算：投标报价得分=(评标基准价／投标报价)×3</w:t>
            </w:r>
            <w:r>
              <w:rPr>
                <w:rFonts w:hint="eastAsia" w:cs="宋体"/>
                <w:color w:val="auto"/>
                <w:sz w:val="21"/>
                <w:szCs w:val="21"/>
                <w:highlight w:val="none"/>
                <w:lang w:val="en-US" w:eastAsia="zh-CN"/>
              </w:rPr>
              <w:t>0</w:t>
            </w:r>
            <w:r>
              <w:rPr>
                <w:rFonts w:hint="eastAsia" w:cs="宋体"/>
                <w:color w:val="auto"/>
                <w:sz w:val="21"/>
                <w:szCs w:val="21"/>
                <w:highlight w:val="none"/>
              </w:rPr>
              <w:t>%×100；</w:t>
            </w:r>
          </w:p>
          <w:p>
            <w:pPr>
              <w:spacing w:line="360" w:lineRule="exact"/>
              <w:rPr>
                <w:rFonts w:cs="宋体"/>
                <w:b/>
                <w:bCs/>
                <w:color w:val="auto"/>
                <w:sz w:val="21"/>
                <w:szCs w:val="21"/>
                <w:highlight w:val="none"/>
              </w:rPr>
            </w:pPr>
            <w:r>
              <w:rPr>
                <w:rFonts w:hint="eastAsia" w:cs="宋体"/>
                <w:b/>
                <w:bCs/>
                <w:color w:val="auto"/>
                <w:sz w:val="21"/>
                <w:szCs w:val="21"/>
                <w:highlight w:val="none"/>
              </w:rPr>
              <w:t>注：1.小微企业(残疾人福利性单位、监狱企业视同小微企业)价格扣除按照本招标文件投标人须知前附表规定执行。</w:t>
            </w:r>
          </w:p>
          <w:p>
            <w:pPr>
              <w:spacing w:line="360" w:lineRule="exact"/>
              <w:rPr>
                <w:rFonts w:cs="宋体"/>
                <w:b/>
                <w:bCs/>
                <w:color w:val="auto"/>
                <w:sz w:val="21"/>
                <w:szCs w:val="21"/>
                <w:highlight w:val="none"/>
              </w:rPr>
            </w:pPr>
            <w:r>
              <w:rPr>
                <w:rFonts w:hint="eastAsia" w:cs="宋体"/>
                <w:b/>
                <w:bCs/>
                <w:color w:val="auto"/>
                <w:sz w:val="21"/>
                <w:szCs w:val="21"/>
                <w:highlight w:val="none"/>
              </w:rPr>
              <w:t>2.评标过程中，不得去掉报价中的最高报价和最低报价。</w:t>
            </w:r>
          </w:p>
          <w:p>
            <w:pPr>
              <w:spacing w:line="360" w:lineRule="exact"/>
              <w:rPr>
                <w:rFonts w:cs="宋体"/>
                <w:color w:val="auto"/>
                <w:sz w:val="21"/>
                <w:szCs w:val="21"/>
                <w:highlight w:val="none"/>
              </w:rPr>
            </w:pPr>
            <w:r>
              <w:rPr>
                <w:rFonts w:hint="eastAsia" w:cs="宋体"/>
                <w:b/>
                <w:bCs/>
                <w:color w:val="auto"/>
                <w:sz w:val="21"/>
                <w:szCs w:val="21"/>
                <w:highlight w:val="none"/>
              </w:rPr>
              <w:t>3.因落实政策进行价格调整的，以调整后的价格计算评标基准价和投标报价。</w:t>
            </w:r>
          </w:p>
        </w:tc>
        <w:tc>
          <w:tcPr>
            <w:tcW w:w="467" w:type="pct"/>
            <w:vAlign w:val="center"/>
          </w:tcPr>
          <w:p>
            <w:pPr>
              <w:spacing w:line="360" w:lineRule="exact"/>
              <w:jc w:val="center"/>
              <w:rPr>
                <w:rFonts w:cs="宋体"/>
                <w:color w:val="auto"/>
                <w:sz w:val="21"/>
                <w:szCs w:val="21"/>
                <w:highlight w:val="none"/>
              </w:rPr>
            </w:pPr>
            <w:r>
              <w:rPr>
                <w:rFonts w:hint="eastAsia" w:cs="宋体"/>
                <w:color w:val="auto"/>
                <w:sz w:val="21"/>
                <w:szCs w:val="21"/>
                <w:highlight w:val="none"/>
              </w:rPr>
              <w:t>共同评</w:t>
            </w:r>
          </w:p>
          <w:p>
            <w:pPr>
              <w:spacing w:line="360" w:lineRule="exact"/>
              <w:jc w:val="center"/>
              <w:rPr>
                <w:rFonts w:cs="宋体"/>
                <w:color w:val="auto"/>
                <w:sz w:val="21"/>
                <w:szCs w:val="21"/>
                <w:highlight w:val="none"/>
              </w:rPr>
            </w:pPr>
            <w:r>
              <w:rPr>
                <w:rFonts w:hint="eastAsia" w:cs="宋体"/>
                <w:color w:val="auto"/>
                <w:sz w:val="21"/>
                <w:szCs w:val="21"/>
                <w:highlight w:val="none"/>
              </w:rPr>
              <w:t>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center"/>
          </w:tcPr>
          <w:p>
            <w:pPr>
              <w:spacing w:line="360" w:lineRule="exact"/>
              <w:jc w:val="center"/>
              <w:rPr>
                <w:rFonts w:cs="宋体"/>
                <w:color w:val="auto"/>
                <w:sz w:val="21"/>
                <w:szCs w:val="21"/>
                <w:highlight w:val="none"/>
              </w:rPr>
            </w:pPr>
            <w:r>
              <w:rPr>
                <w:rFonts w:hint="eastAsia" w:cs="宋体"/>
                <w:color w:val="auto"/>
                <w:sz w:val="21"/>
                <w:szCs w:val="21"/>
                <w:highlight w:val="none"/>
              </w:rPr>
              <w:t>二</w:t>
            </w:r>
          </w:p>
        </w:tc>
        <w:tc>
          <w:tcPr>
            <w:tcW w:w="557" w:type="pct"/>
            <w:vAlign w:val="center"/>
          </w:tcPr>
          <w:p>
            <w:pPr>
              <w:spacing w:line="360" w:lineRule="exact"/>
              <w:jc w:val="center"/>
              <w:rPr>
                <w:rFonts w:cs="宋体"/>
                <w:color w:val="auto"/>
                <w:sz w:val="21"/>
                <w:szCs w:val="21"/>
                <w:highlight w:val="none"/>
              </w:rPr>
            </w:pPr>
            <w:r>
              <w:rPr>
                <w:rFonts w:hint="eastAsia" w:cs="宋体"/>
                <w:color w:val="auto"/>
                <w:sz w:val="21"/>
                <w:szCs w:val="21"/>
                <w:highlight w:val="none"/>
              </w:rPr>
              <w:t>技术参数及配置要求</w:t>
            </w:r>
          </w:p>
          <w:p>
            <w:pPr>
              <w:spacing w:line="360" w:lineRule="exact"/>
              <w:jc w:val="center"/>
              <w:rPr>
                <w:rFonts w:cs="宋体"/>
                <w:color w:val="auto"/>
                <w:sz w:val="21"/>
                <w:szCs w:val="21"/>
                <w:highlight w:val="none"/>
              </w:rPr>
            </w:pPr>
            <w:r>
              <w:rPr>
                <w:rFonts w:hint="eastAsia" w:cs="宋体"/>
                <w:color w:val="auto"/>
                <w:sz w:val="21"/>
                <w:szCs w:val="21"/>
                <w:highlight w:val="none"/>
                <w:lang w:val="en-US" w:eastAsia="zh-CN"/>
              </w:rPr>
              <w:t>37</w:t>
            </w:r>
            <w:r>
              <w:rPr>
                <w:rFonts w:hint="eastAsia" w:cs="宋体"/>
                <w:color w:val="auto"/>
                <w:sz w:val="21"/>
                <w:szCs w:val="21"/>
                <w:highlight w:val="none"/>
              </w:rPr>
              <w:t>%</w:t>
            </w:r>
          </w:p>
        </w:tc>
        <w:tc>
          <w:tcPr>
            <w:tcW w:w="474" w:type="pct"/>
            <w:vAlign w:val="center"/>
          </w:tcPr>
          <w:p>
            <w:pPr>
              <w:spacing w:line="360" w:lineRule="exact"/>
              <w:jc w:val="center"/>
              <w:rPr>
                <w:rFonts w:cs="宋体"/>
                <w:color w:val="auto"/>
                <w:sz w:val="21"/>
                <w:szCs w:val="21"/>
                <w:highlight w:val="none"/>
              </w:rPr>
            </w:pPr>
            <w:r>
              <w:rPr>
                <w:rFonts w:hint="eastAsia" w:cs="宋体"/>
                <w:color w:val="auto"/>
                <w:sz w:val="21"/>
                <w:szCs w:val="21"/>
                <w:highlight w:val="none"/>
                <w:lang w:val="en-US" w:eastAsia="zh-CN"/>
              </w:rPr>
              <w:t>37</w:t>
            </w:r>
            <w:r>
              <w:rPr>
                <w:rFonts w:hint="eastAsia" w:cs="宋体"/>
                <w:color w:val="auto"/>
                <w:sz w:val="21"/>
                <w:szCs w:val="21"/>
                <w:highlight w:val="none"/>
              </w:rPr>
              <w:t>分</w:t>
            </w:r>
          </w:p>
        </w:tc>
        <w:tc>
          <w:tcPr>
            <w:tcW w:w="3128" w:type="pct"/>
            <w:vAlign w:val="center"/>
          </w:tcPr>
          <w:p>
            <w:pPr>
              <w:spacing w:line="360" w:lineRule="exact"/>
              <w:rPr>
                <w:rFonts w:cs="宋体"/>
                <w:color w:val="auto"/>
                <w:sz w:val="21"/>
                <w:szCs w:val="21"/>
                <w:highlight w:val="none"/>
              </w:rPr>
            </w:pPr>
            <w:r>
              <w:rPr>
                <w:rFonts w:hint="eastAsia" w:cs="宋体"/>
                <w:bCs/>
                <w:color w:val="auto"/>
                <w:kern w:val="0"/>
                <w:sz w:val="21"/>
                <w:szCs w:val="21"/>
                <w:highlight w:val="none"/>
                <w:lang w:bidi="ar"/>
              </w:rPr>
              <w:t>投标人针对招标文件第六章“</w:t>
            </w:r>
            <w:r>
              <w:rPr>
                <w:rFonts w:hint="eastAsia" w:cs="宋体"/>
                <w:bCs/>
                <w:color w:val="auto"/>
                <w:sz w:val="21"/>
                <w:szCs w:val="21"/>
                <w:highlight w:val="none"/>
              </w:rPr>
              <w:t>技术参数</w:t>
            </w:r>
            <w:r>
              <w:rPr>
                <w:rFonts w:hint="eastAsia" w:cs="宋体"/>
                <w:bCs/>
                <w:color w:val="auto"/>
                <w:kern w:val="0"/>
                <w:sz w:val="21"/>
                <w:szCs w:val="21"/>
                <w:highlight w:val="none"/>
              </w:rPr>
              <w:t>及配置要求</w:t>
            </w:r>
            <w:r>
              <w:rPr>
                <w:rFonts w:hint="eastAsia" w:cs="宋体"/>
                <w:bCs/>
                <w:color w:val="auto"/>
                <w:kern w:val="0"/>
                <w:sz w:val="21"/>
                <w:szCs w:val="21"/>
                <w:highlight w:val="none"/>
                <w:lang w:val="en-US" w:eastAsia="zh-CN"/>
              </w:rPr>
              <w:t>(实质性要求除外)</w:t>
            </w:r>
            <w:r>
              <w:rPr>
                <w:rFonts w:hint="eastAsia" w:cs="宋体"/>
                <w:bCs/>
                <w:color w:val="auto"/>
                <w:kern w:val="0"/>
                <w:sz w:val="21"/>
                <w:szCs w:val="21"/>
                <w:highlight w:val="none"/>
                <w:lang w:bidi="ar"/>
              </w:rPr>
              <w:t>”中的技术参数条款响应得分规则如下：【①技术参数及要求</w:t>
            </w:r>
            <w:r>
              <w:rPr>
                <w:rFonts w:hint="eastAsia" w:cs="宋体"/>
                <w:color w:val="auto"/>
                <w:sz w:val="21"/>
                <w:szCs w:val="21"/>
                <w:highlight w:val="none"/>
              </w:rPr>
              <w:t>条款</w:t>
            </w:r>
            <w:r>
              <w:rPr>
                <w:rFonts w:hint="eastAsia" w:cs="宋体"/>
                <w:bCs/>
                <w:color w:val="auto"/>
                <w:kern w:val="0"/>
                <w:sz w:val="21"/>
                <w:szCs w:val="21"/>
                <w:highlight w:val="none"/>
                <w:lang w:bidi="ar"/>
              </w:rPr>
              <w:t>以序号1、2、3……为单位；②序号中未标注“</w:t>
            </w:r>
            <w:r>
              <w:rPr>
                <w:rFonts w:hint="eastAsia" w:cs="宋体"/>
                <w:color w:val="auto"/>
                <w:sz w:val="21"/>
                <w:szCs w:val="21"/>
                <w:highlight w:val="none"/>
              </w:rPr>
              <w:t>▲</w:t>
            </w:r>
            <w:r>
              <w:rPr>
                <w:rFonts w:hint="eastAsia" w:cs="宋体"/>
                <w:bCs/>
                <w:color w:val="auto"/>
                <w:kern w:val="0"/>
                <w:sz w:val="21"/>
                <w:szCs w:val="21"/>
                <w:highlight w:val="none"/>
                <w:lang w:bidi="ar"/>
              </w:rPr>
              <w:t>”的条款，视为一般技术指标要求；③序号中标注“</w:t>
            </w:r>
            <w:r>
              <w:rPr>
                <w:rFonts w:hint="eastAsia" w:cs="宋体"/>
                <w:color w:val="auto"/>
                <w:sz w:val="21"/>
                <w:szCs w:val="21"/>
                <w:highlight w:val="none"/>
              </w:rPr>
              <w:t>▲</w:t>
            </w:r>
            <w:r>
              <w:rPr>
                <w:rFonts w:hint="eastAsia" w:cs="宋体"/>
                <w:bCs/>
                <w:color w:val="auto"/>
                <w:kern w:val="0"/>
                <w:sz w:val="21"/>
                <w:szCs w:val="21"/>
                <w:highlight w:val="none"/>
                <w:lang w:bidi="ar"/>
              </w:rPr>
              <w:t>”的条款，视为重要指标要求】</w:t>
            </w:r>
            <w:r>
              <w:rPr>
                <w:rFonts w:hint="eastAsia" w:cs="宋体"/>
                <w:color w:val="auto"/>
                <w:sz w:val="21"/>
                <w:szCs w:val="21"/>
                <w:highlight w:val="none"/>
              </w:rPr>
              <w:t>投标人投标产品的技术参数完全满足招标文件要求没有负偏离的得</w:t>
            </w:r>
            <w:r>
              <w:rPr>
                <w:rFonts w:hint="eastAsia" w:cs="宋体"/>
                <w:color w:val="auto"/>
                <w:sz w:val="21"/>
                <w:szCs w:val="21"/>
                <w:highlight w:val="none"/>
                <w:lang w:val="en-US" w:eastAsia="zh-CN"/>
              </w:rPr>
              <w:t>37</w:t>
            </w:r>
            <w:r>
              <w:rPr>
                <w:rFonts w:hint="eastAsia" w:cs="宋体"/>
                <w:color w:val="auto"/>
                <w:sz w:val="21"/>
                <w:szCs w:val="21"/>
                <w:highlight w:val="none"/>
              </w:rPr>
              <w:t>分，带▲号条款(共</w:t>
            </w:r>
            <w:r>
              <w:rPr>
                <w:rFonts w:hint="eastAsia" w:cs="宋体"/>
                <w:color w:val="auto"/>
                <w:sz w:val="21"/>
                <w:szCs w:val="21"/>
                <w:highlight w:val="none"/>
                <w:lang w:val="en-US" w:eastAsia="zh-CN"/>
              </w:rPr>
              <w:t>11</w:t>
            </w:r>
            <w:r>
              <w:rPr>
                <w:rFonts w:hint="eastAsia" w:cs="宋体"/>
                <w:color w:val="auto"/>
                <w:sz w:val="21"/>
                <w:szCs w:val="21"/>
                <w:highlight w:val="none"/>
              </w:rPr>
              <w:t>项)不满足招标文件要求(负偏离)的一项扣</w:t>
            </w:r>
            <w:r>
              <w:rPr>
                <w:rFonts w:hint="eastAsia" w:cs="宋体"/>
                <w:color w:val="auto"/>
                <w:sz w:val="21"/>
                <w:szCs w:val="21"/>
                <w:highlight w:val="none"/>
                <w:lang w:val="en-US" w:eastAsia="zh-CN"/>
              </w:rPr>
              <w:t>1</w:t>
            </w:r>
            <w:r>
              <w:rPr>
                <w:rFonts w:hint="eastAsia" w:cs="宋体"/>
                <w:color w:val="auto"/>
                <w:sz w:val="21"/>
                <w:szCs w:val="21"/>
                <w:highlight w:val="none"/>
              </w:rPr>
              <w:t>分，最多扣</w:t>
            </w:r>
            <w:r>
              <w:rPr>
                <w:rFonts w:hint="eastAsia" w:cs="宋体"/>
                <w:color w:val="auto"/>
                <w:sz w:val="21"/>
                <w:szCs w:val="21"/>
                <w:highlight w:val="none"/>
                <w:lang w:val="en-US" w:eastAsia="zh-CN"/>
              </w:rPr>
              <w:t>11分</w:t>
            </w:r>
            <w:r>
              <w:rPr>
                <w:rFonts w:hint="eastAsia" w:cs="宋体"/>
                <w:color w:val="auto"/>
                <w:sz w:val="21"/>
                <w:szCs w:val="21"/>
                <w:highlight w:val="none"/>
              </w:rPr>
              <w:t>；非带▲、</w:t>
            </w:r>
            <w:r>
              <w:rPr>
                <w:rFonts w:hint="eastAsia"/>
                <w:color w:val="auto"/>
                <w:highlight w:val="none"/>
              </w:rPr>
              <w:t>★</w:t>
            </w:r>
            <w:r>
              <w:rPr>
                <w:rFonts w:hint="eastAsia" w:cs="宋体"/>
                <w:color w:val="auto"/>
                <w:sz w:val="21"/>
                <w:szCs w:val="21"/>
                <w:highlight w:val="none"/>
              </w:rPr>
              <w:t>号条款</w:t>
            </w:r>
            <w:r>
              <w:rPr>
                <w:rFonts w:hint="eastAsia" w:cs="宋体"/>
                <w:bCs/>
                <w:color w:val="auto"/>
                <w:kern w:val="0"/>
                <w:sz w:val="21"/>
                <w:szCs w:val="21"/>
                <w:highlight w:val="none"/>
                <w:lang w:bidi="ar"/>
              </w:rPr>
              <w:t>(共</w:t>
            </w:r>
            <w:r>
              <w:rPr>
                <w:rFonts w:hint="eastAsia" w:cs="宋体"/>
                <w:bCs/>
                <w:color w:val="auto"/>
                <w:kern w:val="0"/>
                <w:sz w:val="21"/>
                <w:szCs w:val="21"/>
                <w:highlight w:val="none"/>
                <w:lang w:val="en-US" w:eastAsia="zh-CN" w:bidi="ar"/>
              </w:rPr>
              <w:t>52</w:t>
            </w:r>
            <w:r>
              <w:rPr>
                <w:rFonts w:hint="eastAsia" w:cs="宋体"/>
                <w:bCs/>
                <w:color w:val="auto"/>
                <w:kern w:val="0"/>
                <w:sz w:val="21"/>
                <w:szCs w:val="21"/>
                <w:highlight w:val="none"/>
                <w:lang w:bidi="ar"/>
              </w:rPr>
              <w:t>项)</w:t>
            </w:r>
            <w:r>
              <w:rPr>
                <w:rFonts w:hint="eastAsia" w:cs="宋体"/>
                <w:color w:val="auto"/>
                <w:sz w:val="21"/>
                <w:szCs w:val="21"/>
                <w:highlight w:val="none"/>
              </w:rPr>
              <w:t>不满足招标文件要求(负偏离)的一项扣0.</w:t>
            </w:r>
            <w:r>
              <w:rPr>
                <w:rFonts w:hint="eastAsia" w:cs="宋体"/>
                <w:color w:val="auto"/>
                <w:sz w:val="21"/>
                <w:szCs w:val="21"/>
                <w:highlight w:val="none"/>
                <w:lang w:val="en-US" w:eastAsia="zh-CN"/>
              </w:rPr>
              <w:t>5</w:t>
            </w:r>
            <w:r>
              <w:rPr>
                <w:rFonts w:hint="eastAsia" w:cs="宋体"/>
                <w:color w:val="auto"/>
                <w:sz w:val="21"/>
                <w:szCs w:val="21"/>
                <w:highlight w:val="none"/>
              </w:rPr>
              <w:t>分，最多扣</w:t>
            </w:r>
            <w:r>
              <w:rPr>
                <w:rFonts w:hint="eastAsia" w:cs="宋体"/>
                <w:color w:val="auto"/>
                <w:sz w:val="21"/>
                <w:szCs w:val="21"/>
                <w:highlight w:val="none"/>
                <w:lang w:val="en-US" w:eastAsia="zh-CN"/>
              </w:rPr>
              <w:t>26</w:t>
            </w:r>
            <w:r>
              <w:rPr>
                <w:rFonts w:hint="eastAsia" w:cs="宋体"/>
                <w:color w:val="auto"/>
                <w:sz w:val="21"/>
                <w:szCs w:val="21"/>
                <w:highlight w:val="none"/>
              </w:rPr>
              <w:t>分。扣完为止。</w:t>
            </w:r>
          </w:p>
          <w:p>
            <w:pPr>
              <w:spacing w:line="360" w:lineRule="exact"/>
              <w:rPr>
                <w:rFonts w:cs="宋体"/>
                <w:b/>
                <w:bCs/>
                <w:color w:val="auto"/>
                <w:sz w:val="21"/>
                <w:szCs w:val="21"/>
                <w:highlight w:val="none"/>
              </w:rPr>
            </w:pPr>
            <w:r>
              <w:rPr>
                <w:rFonts w:hint="eastAsia" w:cs="宋体"/>
                <w:b/>
                <w:bCs/>
                <w:color w:val="auto"/>
                <w:sz w:val="21"/>
                <w:szCs w:val="21"/>
                <w:highlight w:val="none"/>
              </w:rPr>
              <w:t>说明：①</w:t>
            </w:r>
            <w:r>
              <w:rPr>
                <w:rFonts w:hint="eastAsia" w:cs="宋体"/>
                <w:b/>
                <w:bCs/>
                <w:color w:val="auto"/>
                <w:kern w:val="0"/>
                <w:sz w:val="21"/>
                <w:szCs w:val="21"/>
                <w:highlight w:val="none"/>
                <w:lang w:bidi="ar"/>
              </w:rPr>
              <w:t>标注“</w:t>
            </w:r>
            <w:r>
              <w:rPr>
                <w:rFonts w:hint="eastAsia" w:cs="宋体"/>
                <w:b/>
                <w:bCs/>
                <w:color w:val="auto"/>
                <w:sz w:val="21"/>
                <w:szCs w:val="21"/>
                <w:highlight w:val="none"/>
              </w:rPr>
              <w:t>▲</w:t>
            </w:r>
            <w:r>
              <w:rPr>
                <w:rFonts w:hint="eastAsia" w:cs="宋体"/>
                <w:b/>
                <w:bCs/>
                <w:color w:val="auto"/>
                <w:kern w:val="0"/>
                <w:sz w:val="21"/>
                <w:szCs w:val="21"/>
                <w:highlight w:val="none"/>
                <w:lang w:bidi="ar"/>
              </w:rPr>
              <w:t>”的条款共</w:t>
            </w:r>
            <w:r>
              <w:rPr>
                <w:rFonts w:hint="eastAsia" w:cs="宋体"/>
                <w:b/>
                <w:bCs/>
                <w:color w:val="auto"/>
                <w:kern w:val="0"/>
                <w:sz w:val="21"/>
                <w:szCs w:val="21"/>
                <w:highlight w:val="none"/>
                <w:lang w:val="en-US" w:eastAsia="zh-CN" w:bidi="ar"/>
              </w:rPr>
              <w:t>11</w:t>
            </w:r>
            <w:r>
              <w:rPr>
                <w:rFonts w:hint="eastAsia" w:cs="宋体"/>
                <w:b/>
                <w:bCs/>
                <w:color w:val="auto"/>
                <w:kern w:val="0"/>
                <w:sz w:val="21"/>
                <w:szCs w:val="21"/>
                <w:highlight w:val="none"/>
                <w:lang w:bidi="ar"/>
              </w:rPr>
              <w:t>条，未标注“</w:t>
            </w:r>
            <w:r>
              <w:rPr>
                <w:rFonts w:hint="eastAsia" w:cs="宋体"/>
                <w:b/>
                <w:bCs/>
                <w:color w:val="auto"/>
                <w:sz w:val="21"/>
                <w:szCs w:val="21"/>
                <w:highlight w:val="none"/>
              </w:rPr>
              <w:t>▲、</w:t>
            </w:r>
            <w:r>
              <w:rPr>
                <w:rFonts w:hint="eastAsia"/>
                <w:color w:val="auto"/>
                <w:highlight w:val="none"/>
              </w:rPr>
              <w:t>★</w:t>
            </w:r>
            <w:r>
              <w:rPr>
                <w:rFonts w:hint="eastAsia" w:cs="宋体"/>
                <w:b/>
                <w:bCs/>
                <w:color w:val="auto"/>
                <w:kern w:val="0"/>
                <w:sz w:val="21"/>
                <w:szCs w:val="21"/>
                <w:highlight w:val="none"/>
                <w:lang w:bidi="ar"/>
              </w:rPr>
              <w:t>”的条款共</w:t>
            </w:r>
            <w:r>
              <w:rPr>
                <w:rFonts w:hint="eastAsia" w:cs="宋体"/>
                <w:b/>
                <w:bCs/>
                <w:color w:val="auto"/>
                <w:sz w:val="21"/>
                <w:szCs w:val="21"/>
                <w:highlight w:val="none"/>
                <w:lang w:val="en-US" w:eastAsia="zh-CN"/>
              </w:rPr>
              <w:t>52</w:t>
            </w:r>
            <w:r>
              <w:rPr>
                <w:rFonts w:hint="eastAsia" w:cs="宋体"/>
                <w:b/>
                <w:bCs/>
                <w:color w:val="auto"/>
                <w:kern w:val="0"/>
                <w:sz w:val="21"/>
                <w:szCs w:val="21"/>
                <w:highlight w:val="none"/>
                <w:lang w:bidi="ar"/>
              </w:rPr>
              <w:t>项。</w:t>
            </w:r>
            <w:r>
              <w:rPr>
                <w:rFonts w:hint="eastAsia" w:cs="宋体"/>
                <w:b/>
                <w:bCs/>
                <w:color w:val="auto"/>
                <w:sz w:val="21"/>
                <w:szCs w:val="21"/>
                <w:highlight w:val="none"/>
              </w:rPr>
              <w:t>②</w:t>
            </w:r>
            <w:r>
              <w:rPr>
                <w:rFonts w:hint="eastAsia" w:cs="宋体"/>
                <w:b/>
                <w:bCs/>
                <w:color w:val="auto"/>
                <w:kern w:val="0"/>
                <w:sz w:val="21"/>
                <w:szCs w:val="21"/>
                <w:highlight w:val="none"/>
                <w:lang w:bidi="ar"/>
              </w:rPr>
              <w:t>标注“</w:t>
            </w:r>
            <w:r>
              <w:rPr>
                <w:rFonts w:hint="eastAsia" w:cs="宋体"/>
                <w:b/>
                <w:bCs/>
                <w:color w:val="auto"/>
                <w:sz w:val="21"/>
                <w:szCs w:val="21"/>
                <w:highlight w:val="none"/>
              </w:rPr>
              <w:t>▲</w:t>
            </w:r>
            <w:r>
              <w:rPr>
                <w:rFonts w:hint="eastAsia" w:cs="宋体"/>
                <w:b/>
                <w:bCs/>
                <w:color w:val="auto"/>
                <w:kern w:val="0"/>
                <w:sz w:val="21"/>
                <w:szCs w:val="21"/>
                <w:highlight w:val="none"/>
                <w:lang w:bidi="ar"/>
              </w:rPr>
              <w:t>”的条款</w:t>
            </w:r>
            <w:r>
              <w:rPr>
                <w:rFonts w:hint="eastAsia" w:cs="宋体"/>
                <w:b/>
                <w:bCs/>
                <w:color w:val="auto"/>
                <w:sz w:val="21"/>
                <w:szCs w:val="21"/>
                <w:highlight w:val="none"/>
              </w:rPr>
              <w:t>投标人需按</w:t>
            </w:r>
            <w:r>
              <w:rPr>
                <w:rFonts w:hint="eastAsia" w:cs="宋体"/>
                <w:b/>
                <w:bCs/>
                <w:color w:val="auto"/>
                <w:kern w:val="0"/>
                <w:sz w:val="21"/>
                <w:szCs w:val="21"/>
                <w:highlight w:val="none"/>
                <w:lang w:bidi="ar"/>
              </w:rPr>
              <w:t>招标文件第六章“技术参数及配置要求”</w:t>
            </w:r>
            <w:r>
              <w:rPr>
                <w:rFonts w:hint="eastAsia" w:cs="宋体"/>
                <w:b/>
                <w:bCs/>
                <w:color w:val="auto"/>
                <w:sz w:val="21"/>
                <w:szCs w:val="21"/>
                <w:highlight w:val="none"/>
              </w:rPr>
              <w:t>提供</w:t>
            </w:r>
            <w:r>
              <w:rPr>
                <w:rFonts w:hint="eastAsia" w:cs="宋体"/>
                <w:b/>
                <w:bCs/>
                <w:color w:val="auto"/>
                <w:sz w:val="21"/>
                <w:szCs w:val="21"/>
                <w:highlight w:val="none"/>
                <w:lang w:val="en-US" w:eastAsia="zh-CN"/>
              </w:rPr>
              <w:t>检测报告复印件</w:t>
            </w:r>
            <w:r>
              <w:rPr>
                <w:rFonts w:hint="eastAsia" w:cs="宋体"/>
                <w:b/>
                <w:bCs/>
                <w:color w:val="auto"/>
                <w:sz w:val="21"/>
                <w:szCs w:val="21"/>
                <w:highlight w:val="none"/>
              </w:rPr>
              <w:t>，未按要求提供，则对应技术参数条款将视为不满足。</w:t>
            </w:r>
          </w:p>
          <w:p>
            <w:pPr>
              <w:pStyle w:val="30"/>
              <w:keepNext w:val="0"/>
              <w:keepLines w:val="0"/>
              <w:spacing w:before="0" w:after="0" w:line="360" w:lineRule="exact"/>
              <w:rPr>
                <w:rFonts w:ascii="宋体" w:hAnsi="宋体" w:eastAsia="宋体" w:cs="宋体"/>
                <w:color w:val="auto"/>
                <w:sz w:val="21"/>
                <w:szCs w:val="21"/>
                <w:highlight w:val="none"/>
              </w:rPr>
            </w:pPr>
            <w:r>
              <w:rPr>
                <w:rFonts w:hint="eastAsia" w:ascii="宋体" w:hAnsi="宋体" w:eastAsia="宋体" w:cs="宋体"/>
                <w:bCs/>
                <w:color w:val="auto"/>
                <w:sz w:val="21"/>
                <w:szCs w:val="21"/>
                <w:highlight w:val="none"/>
              </w:rPr>
              <w:t>③未</w:t>
            </w:r>
            <w:r>
              <w:rPr>
                <w:rFonts w:hint="eastAsia" w:ascii="宋体" w:hAnsi="宋体" w:eastAsia="宋体" w:cs="宋体"/>
                <w:bCs/>
                <w:color w:val="auto"/>
                <w:sz w:val="21"/>
                <w:szCs w:val="21"/>
                <w:highlight w:val="none"/>
                <w:lang w:bidi="ar"/>
              </w:rPr>
              <w:t>标注“</w:t>
            </w:r>
            <w:r>
              <w:rPr>
                <w:rFonts w:hint="eastAsia" w:ascii="宋体" w:hAnsi="宋体" w:eastAsia="宋体" w:cs="宋体"/>
                <w:bCs/>
                <w:color w:val="auto"/>
                <w:sz w:val="21"/>
                <w:szCs w:val="21"/>
                <w:highlight w:val="none"/>
              </w:rPr>
              <w:t>▲、</w:t>
            </w:r>
            <w:r>
              <w:rPr>
                <w:rFonts w:hint="eastAsia" w:ascii="宋体" w:hAnsi="宋体" w:eastAsia="宋体"/>
                <w:color w:val="auto"/>
                <w:highlight w:val="none"/>
              </w:rPr>
              <w:t>★</w:t>
            </w:r>
            <w:r>
              <w:rPr>
                <w:rFonts w:hint="eastAsia" w:ascii="宋体" w:hAnsi="宋体" w:eastAsia="宋体" w:cs="宋体"/>
                <w:bCs/>
                <w:color w:val="auto"/>
                <w:sz w:val="21"/>
                <w:szCs w:val="21"/>
                <w:highlight w:val="none"/>
                <w:lang w:bidi="ar"/>
              </w:rPr>
              <w:t>”的条款</w:t>
            </w:r>
            <w:r>
              <w:rPr>
                <w:rFonts w:hint="eastAsia" w:ascii="宋体" w:hAnsi="宋体" w:eastAsia="宋体" w:cs="宋体"/>
                <w:bCs/>
                <w:color w:val="auto"/>
                <w:sz w:val="21"/>
                <w:szCs w:val="21"/>
                <w:highlight w:val="none"/>
              </w:rPr>
              <w:t>如果</w:t>
            </w:r>
            <w:r>
              <w:rPr>
                <w:rFonts w:hint="eastAsia" w:ascii="宋体" w:hAnsi="宋体" w:eastAsia="宋体" w:cs="宋体"/>
                <w:bCs/>
                <w:color w:val="auto"/>
                <w:sz w:val="21"/>
                <w:szCs w:val="21"/>
                <w:highlight w:val="none"/>
                <w:lang w:bidi="ar"/>
              </w:rPr>
              <w:t>招标文件第六章“技术参数及配置要求”</w:t>
            </w:r>
            <w:r>
              <w:rPr>
                <w:rFonts w:hint="eastAsia" w:ascii="宋体" w:hAnsi="宋体" w:eastAsia="宋体" w:cs="宋体"/>
                <w:bCs/>
                <w:color w:val="auto"/>
                <w:sz w:val="21"/>
                <w:szCs w:val="21"/>
                <w:highlight w:val="none"/>
              </w:rPr>
              <w:t>对技术支撑材料有要求，应按要求提供，否则对应技术参数条款将视为不满足</w:t>
            </w:r>
            <w:r>
              <w:rPr>
                <w:rFonts w:hint="eastAsia" w:ascii="宋体" w:hAnsi="宋体" w:eastAsia="宋体" w:cs="宋体"/>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未要求的以投标人</w:t>
            </w:r>
            <w:bookmarkStart w:id="1281" w:name="_Toc15234"/>
            <w:r>
              <w:rPr>
                <w:rFonts w:hint="eastAsia" w:ascii="宋体" w:hAnsi="宋体" w:eastAsia="宋体" w:cs="宋体"/>
                <w:b/>
                <w:bCs/>
                <w:color w:val="auto"/>
                <w:sz w:val="21"/>
                <w:szCs w:val="21"/>
                <w:highlight w:val="none"/>
                <w:lang w:val="en-US" w:eastAsia="zh-CN"/>
              </w:rPr>
              <w:t>“技术参数应答表”</w:t>
            </w:r>
            <w:bookmarkEnd w:id="1281"/>
            <w:r>
              <w:rPr>
                <w:rFonts w:hint="eastAsia" w:ascii="宋体" w:hAnsi="宋体" w:eastAsia="宋体" w:cs="宋体"/>
                <w:b/>
                <w:bCs/>
                <w:color w:val="auto"/>
                <w:sz w:val="21"/>
                <w:szCs w:val="21"/>
                <w:highlight w:val="none"/>
                <w:lang w:val="en-US" w:eastAsia="zh-CN"/>
              </w:rPr>
              <w:t>响应为准</w:t>
            </w:r>
            <w:r>
              <w:rPr>
                <w:rFonts w:hint="eastAsia" w:ascii="宋体" w:hAnsi="宋体" w:eastAsia="宋体" w:cs="宋体"/>
                <w:b/>
                <w:bCs/>
                <w:color w:val="auto"/>
                <w:sz w:val="21"/>
                <w:szCs w:val="21"/>
                <w:highlight w:val="none"/>
              </w:rPr>
              <w:t>。</w:t>
            </w:r>
          </w:p>
        </w:tc>
        <w:tc>
          <w:tcPr>
            <w:tcW w:w="467" w:type="pct"/>
            <w:vAlign w:val="center"/>
          </w:tcPr>
          <w:p>
            <w:pPr>
              <w:spacing w:line="360" w:lineRule="exact"/>
              <w:jc w:val="center"/>
              <w:rPr>
                <w:rFonts w:cs="宋体"/>
                <w:color w:val="auto"/>
                <w:sz w:val="21"/>
                <w:szCs w:val="21"/>
                <w:highlight w:val="none"/>
              </w:rPr>
            </w:pPr>
            <w:r>
              <w:rPr>
                <w:rFonts w:hint="eastAsia" w:cs="宋体"/>
                <w:color w:val="auto"/>
                <w:sz w:val="21"/>
                <w:szCs w:val="21"/>
                <w:highlight w:val="none"/>
              </w:rPr>
              <w:t>技术评</w:t>
            </w:r>
          </w:p>
          <w:p>
            <w:pPr>
              <w:spacing w:line="360" w:lineRule="exact"/>
              <w:jc w:val="center"/>
              <w:rPr>
                <w:rFonts w:cs="宋体"/>
                <w:color w:val="auto"/>
                <w:sz w:val="21"/>
                <w:szCs w:val="21"/>
                <w:highlight w:val="none"/>
              </w:rPr>
            </w:pPr>
            <w:r>
              <w:rPr>
                <w:rFonts w:hint="eastAsia" w:cs="宋体"/>
                <w:color w:val="auto"/>
                <w:sz w:val="21"/>
                <w:szCs w:val="21"/>
                <w:highlight w:val="none"/>
              </w:rPr>
              <w:t>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73" w:type="pct"/>
            <w:vAlign w:val="center"/>
          </w:tcPr>
          <w:p>
            <w:pPr>
              <w:spacing w:line="360" w:lineRule="exact"/>
              <w:rPr>
                <w:rFonts w:hint="eastAsia" w:eastAsia="宋体" w:cs="宋体"/>
                <w:color w:val="auto"/>
                <w:sz w:val="21"/>
                <w:szCs w:val="21"/>
                <w:highlight w:val="none"/>
                <w:lang w:val="en-US" w:eastAsia="zh-CN"/>
              </w:rPr>
            </w:pPr>
            <w:r>
              <w:rPr>
                <w:rFonts w:hint="eastAsia" w:cs="宋体"/>
                <w:color w:val="auto"/>
                <w:sz w:val="21"/>
                <w:szCs w:val="21"/>
                <w:highlight w:val="none"/>
              </w:rPr>
              <w:t xml:space="preserve"> </w:t>
            </w:r>
            <w:r>
              <w:rPr>
                <w:rFonts w:hint="eastAsia" w:cs="宋体"/>
                <w:color w:val="auto"/>
                <w:sz w:val="21"/>
                <w:szCs w:val="21"/>
                <w:highlight w:val="none"/>
                <w:lang w:val="en-US" w:eastAsia="zh-CN"/>
              </w:rPr>
              <w:t>三</w:t>
            </w:r>
          </w:p>
        </w:tc>
        <w:tc>
          <w:tcPr>
            <w:tcW w:w="557" w:type="pct"/>
            <w:vAlign w:val="center"/>
          </w:tcPr>
          <w:p>
            <w:pPr>
              <w:pStyle w:val="44"/>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样品</w:t>
            </w:r>
          </w:p>
          <w:p>
            <w:pPr>
              <w:pStyle w:val="44"/>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cs="宋体"/>
                <w:color w:val="auto"/>
                <w:sz w:val="21"/>
                <w:szCs w:val="21"/>
                <w:highlight w:val="none"/>
              </w:rPr>
            </w:pP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w:t>
            </w:r>
          </w:p>
        </w:tc>
        <w:tc>
          <w:tcPr>
            <w:tcW w:w="474" w:type="pct"/>
            <w:vAlign w:val="center"/>
          </w:tcPr>
          <w:p>
            <w:pPr>
              <w:pStyle w:val="44"/>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center"/>
              <w:textAlignment w:val="auto"/>
              <w:rPr>
                <w:rFonts w:cs="宋体"/>
                <w:color w:val="auto"/>
                <w:sz w:val="21"/>
                <w:szCs w:val="21"/>
                <w:highlight w:val="none"/>
              </w:rPr>
            </w:pP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分</w:t>
            </w:r>
          </w:p>
        </w:tc>
        <w:tc>
          <w:tcPr>
            <w:tcW w:w="3128" w:type="pct"/>
            <w:vAlign w:val="center"/>
          </w:tcPr>
          <w:p>
            <w:pPr>
              <w:pStyle w:val="44"/>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根据投标人提供的样品进行评审：</w:t>
            </w:r>
          </w:p>
          <w:p>
            <w:pPr>
              <w:pStyle w:val="44"/>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1.裁剪工艺：符合①裁剪均匀，②无毛边，③裁剪平整，④无跳纱得4分，有一处缺陷扣1 分，扣完为止；</w:t>
            </w:r>
          </w:p>
          <w:p>
            <w:pPr>
              <w:pStyle w:val="44"/>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缝制工艺：符合①线迹均匀美观，②顺直平整不扭曲，③底面线迹均匀，④不跳针，⑤不浮线不断线，⑥锁眼钉扣位置准确，⑦拉链位置准确顺滑，⑧刺绣Logo做工精细、绣线精密、不滑线得8分，有一处缺陷扣1分，扣完为止；</w:t>
            </w:r>
          </w:p>
          <w:p>
            <w:pPr>
              <w:pStyle w:val="44"/>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3.整烫工艺：符合①样衣平顺自然，②无水印得2分，有一处缺陷扣1分，扣完为止； </w:t>
            </w:r>
          </w:p>
          <w:p>
            <w:pPr>
              <w:pStyle w:val="44"/>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left"/>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4.样衣外观效果及面料：符合①外观与图片一致，②色泽均匀、厚薄均匀，③表面有无疵点异味，④各部位(长短、大小、宽窄对称一致)，⑤不发黄，⑥不易起褶皱得6分，有一处缺陷扣1分，扣完为止。</w:t>
            </w:r>
          </w:p>
          <w:p>
            <w:pPr>
              <w:pStyle w:val="44"/>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left"/>
              <w:textAlignment w:val="auto"/>
              <w:rPr>
                <w:rFonts w:cs="宋体"/>
                <w:color w:val="auto"/>
                <w:sz w:val="21"/>
                <w:szCs w:val="21"/>
                <w:highlight w:val="none"/>
              </w:rPr>
            </w:pPr>
            <w:r>
              <w:rPr>
                <w:rFonts w:hint="eastAsia" w:ascii="宋体" w:hAnsi="宋体" w:eastAsia="宋体" w:cs="宋体"/>
                <w:b/>
                <w:bCs/>
                <w:color w:val="auto"/>
                <w:sz w:val="21"/>
                <w:szCs w:val="21"/>
                <w:highlight w:val="none"/>
              </w:rPr>
              <w:t>注：投标人未按照要求提供服装样品(A1、A2、B1、B2套装各准备一套，其中A1、A2为男式套装，B1、B2为女式套装</w:t>
            </w:r>
            <w:r>
              <w:rPr>
                <w:rFonts w:hint="eastAsia" w:cs="宋体"/>
                <w:b/>
                <w:bCs/>
                <w:color w:val="auto"/>
                <w:sz w:val="21"/>
                <w:szCs w:val="21"/>
                <w:highlight w:val="none"/>
                <w:lang w:eastAsia="zh-CN"/>
              </w:rPr>
              <w:t>。</w:t>
            </w:r>
            <w:r>
              <w:rPr>
                <w:rFonts w:hint="eastAsia" w:ascii="宋体" w:hAnsi="宋体" w:eastAsia="宋体" w:cs="宋体"/>
                <w:b/>
                <w:bCs/>
                <w:color w:val="auto"/>
                <w:sz w:val="21"/>
                <w:szCs w:val="21"/>
                <w:highlight w:val="none"/>
              </w:rPr>
              <w:t>LOGO</w:t>
            </w:r>
            <w:r>
              <w:rPr>
                <w:rFonts w:hint="eastAsia" w:ascii="宋体" w:hAnsi="宋体" w:eastAsia="宋体" w:cs="宋体"/>
                <w:b/>
                <w:bCs/>
                <w:color w:val="auto"/>
                <w:sz w:val="21"/>
                <w:szCs w:val="21"/>
                <w:highlight w:val="none"/>
                <w:lang w:val="en-US" w:eastAsia="zh-CN"/>
              </w:rPr>
              <w:t>要求</w:t>
            </w:r>
            <w:r>
              <w:rPr>
                <w:rFonts w:hint="eastAsia" w:cs="宋体"/>
                <w:b/>
                <w:bCs/>
                <w:color w:val="auto"/>
                <w:sz w:val="21"/>
                <w:szCs w:val="21"/>
                <w:highlight w:val="none"/>
                <w:lang w:val="en-US" w:eastAsia="zh-CN"/>
              </w:rPr>
              <w:t>：</w:t>
            </w:r>
            <w:r>
              <w:rPr>
                <w:rFonts w:hint="eastAsia" w:ascii="宋体" w:hAnsi="宋体" w:eastAsia="宋体" w:cs="宋体"/>
                <w:b/>
                <w:bCs/>
                <w:color w:val="auto"/>
                <w:sz w:val="21"/>
                <w:szCs w:val="21"/>
                <w:highlight w:val="none"/>
              </w:rPr>
              <w:t>A1</w:t>
            </w:r>
            <w:r>
              <w:rPr>
                <w:rFonts w:hint="eastAsia" w:cs="宋体"/>
                <w:b/>
                <w:bCs/>
                <w:color w:val="auto"/>
                <w:sz w:val="21"/>
                <w:szCs w:val="21"/>
                <w:highlight w:val="none"/>
                <w:lang w:val="en-US" w:eastAsia="zh-CN"/>
              </w:rPr>
              <w:t>：</w:t>
            </w:r>
            <w:r>
              <w:rPr>
                <w:rFonts w:hint="eastAsia" w:ascii="宋体" w:hAnsi="宋体" w:eastAsia="宋体" w:cs="宋体"/>
                <w:b/>
                <w:bCs/>
                <w:color w:val="auto"/>
                <w:sz w:val="21"/>
                <w:szCs w:val="21"/>
                <w:highlight w:val="none"/>
              </w:rPr>
              <w:t>机械工程学院，B1</w:t>
            </w:r>
            <w:r>
              <w:rPr>
                <w:rFonts w:hint="eastAsia" w:cs="宋体"/>
                <w:b/>
                <w:bCs/>
                <w:color w:val="auto"/>
                <w:sz w:val="21"/>
                <w:szCs w:val="21"/>
                <w:highlight w:val="none"/>
                <w:lang w:val="en-US" w:eastAsia="zh-CN"/>
              </w:rPr>
              <w:t>：</w:t>
            </w:r>
            <w:r>
              <w:rPr>
                <w:rFonts w:hint="eastAsia" w:ascii="宋体" w:hAnsi="宋体" w:eastAsia="宋体" w:cs="宋体"/>
                <w:b/>
                <w:bCs/>
                <w:color w:val="auto"/>
                <w:sz w:val="21"/>
                <w:szCs w:val="21"/>
                <w:highlight w:val="none"/>
              </w:rPr>
              <w:t>轨道交通学院。准备</w:t>
            </w:r>
            <w:r>
              <w:rPr>
                <w:rFonts w:hint="eastAsia" w:cs="宋体"/>
                <w:b/>
                <w:bCs/>
                <w:color w:val="auto"/>
                <w:sz w:val="21"/>
                <w:szCs w:val="21"/>
                <w:highlight w:val="none"/>
                <w:lang w:val="en-US" w:eastAsia="zh-CN"/>
              </w:rPr>
              <w:t>的</w:t>
            </w:r>
            <w:r>
              <w:rPr>
                <w:rFonts w:hint="eastAsia" w:ascii="宋体" w:hAnsi="宋体" w:eastAsia="宋体" w:cs="宋体"/>
                <w:b/>
                <w:bCs/>
                <w:color w:val="auto"/>
                <w:sz w:val="21"/>
                <w:szCs w:val="21"/>
                <w:highlight w:val="none"/>
              </w:rPr>
              <w:t>套装规格型号：男式：175A，女式：165A)的本项不得分。缺少</w:t>
            </w:r>
            <w:r>
              <w:rPr>
                <w:rFonts w:hint="eastAsia" w:cs="宋体"/>
                <w:b/>
                <w:bCs/>
                <w:color w:val="auto"/>
                <w:sz w:val="21"/>
                <w:szCs w:val="21"/>
                <w:highlight w:val="none"/>
                <w:lang w:val="en-US" w:eastAsia="zh-CN"/>
              </w:rPr>
              <w:t>任意</w:t>
            </w:r>
            <w:r>
              <w:rPr>
                <w:rFonts w:hint="eastAsia" w:ascii="宋体" w:hAnsi="宋体" w:eastAsia="宋体" w:cs="宋体"/>
                <w:b/>
                <w:bCs/>
                <w:color w:val="auto"/>
                <w:sz w:val="21"/>
                <w:szCs w:val="21"/>
                <w:highlight w:val="none"/>
              </w:rPr>
              <w:t>一件(条)的视为未按照要求提供服装样品</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样品不得分</w:t>
            </w:r>
            <w:r>
              <w:rPr>
                <w:rFonts w:hint="eastAsia" w:ascii="宋体" w:hAnsi="宋体" w:eastAsia="宋体" w:cs="宋体"/>
                <w:b/>
                <w:bCs/>
                <w:color w:val="auto"/>
                <w:sz w:val="21"/>
                <w:szCs w:val="21"/>
                <w:highlight w:val="none"/>
              </w:rPr>
              <w:t>。</w:t>
            </w:r>
          </w:p>
        </w:tc>
        <w:tc>
          <w:tcPr>
            <w:tcW w:w="467" w:type="pct"/>
            <w:vAlign w:val="center"/>
          </w:tcPr>
          <w:p>
            <w:pPr>
              <w:spacing w:line="360" w:lineRule="exact"/>
              <w:jc w:val="center"/>
              <w:rPr>
                <w:rFonts w:cs="宋体"/>
                <w:color w:val="auto"/>
                <w:sz w:val="21"/>
                <w:szCs w:val="21"/>
                <w:highlight w:val="none"/>
              </w:rPr>
            </w:pPr>
            <w:r>
              <w:rPr>
                <w:rFonts w:hint="eastAsia" w:cs="宋体"/>
                <w:color w:val="auto"/>
                <w:sz w:val="21"/>
                <w:szCs w:val="21"/>
                <w:highlight w:val="none"/>
              </w:rPr>
              <w:t>技术评</w:t>
            </w:r>
          </w:p>
          <w:p>
            <w:pPr>
              <w:spacing w:line="360" w:lineRule="exact"/>
              <w:jc w:val="center"/>
              <w:rPr>
                <w:rFonts w:cs="宋体"/>
                <w:color w:val="auto"/>
                <w:sz w:val="21"/>
                <w:szCs w:val="21"/>
                <w:highlight w:val="none"/>
              </w:rPr>
            </w:pPr>
            <w:r>
              <w:rPr>
                <w:rFonts w:hint="eastAsia" w:cs="宋体"/>
                <w:color w:val="auto"/>
                <w:sz w:val="21"/>
                <w:szCs w:val="21"/>
                <w:highlight w:val="none"/>
              </w:rPr>
              <w:t>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73" w:type="pct"/>
            <w:vAlign w:val="center"/>
          </w:tcPr>
          <w:p>
            <w:pPr>
              <w:spacing w:line="360" w:lineRule="exact"/>
              <w:jc w:val="center"/>
              <w:rPr>
                <w:rFonts w:hint="eastAsia" w:eastAsia="宋体" w:cs="宋体"/>
                <w:color w:val="auto"/>
                <w:sz w:val="21"/>
                <w:szCs w:val="21"/>
                <w:highlight w:val="none"/>
                <w:lang w:val="en-US" w:eastAsia="zh-CN"/>
              </w:rPr>
            </w:pPr>
            <w:r>
              <w:rPr>
                <w:rFonts w:hint="eastAsia" w:cs="宋体"/>
                <w:color w:val="auto"/>
                <w:sz w:val="21"/>
                <w:szCs w:val="21"/>
                <w:highlight w:val="none"/>
                <w:lang w:val="en-US" w:eastAsia="zh-CN"/>
              </w:rPr>
              <w:t>四</w:t>
            </w:r>
          </w:p>
        </w:tc>
        <w:tc>
          <w:tcPr>
            <w:tcW w:w="557" w:type="pct"/>
            <w:vAlign w:val="center"/>
          </w:tcPr>
          <w:p>
            <w:pPr>
              <w:keepNext w:val="0"/>
              <w:keepLines w:val="0"/>
              <w:pageBreakBefore w:val="0"/>
              <w:widowControl w:val="0"/>
              <w:kinsoku/>
              <w:overflowPunct/>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项目实施方案</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p>
        </w:tc>
        <w:tc>
          <w:tcPr>
            <w:tcW w:w="474" w:type="pct"/>
            <w:vAlign w:val="center"/>
          </w:tcPr>
          <w:p>
            <w:pPr>
              <w:keepNext w:val="0"/>
              <w:keepLines w:val="0"/>
              <w:pageBreakBefore w:val="0"/>
              <w:widowControl w:val="0"/>
              <w:kinsoku/>
              <w:overflowPunct/>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6分</w:t>
            </w:r>
          </w:p>
        </w:tc>
        <w:tc>
          <w:tcPr>
            <w:tcW w:w="3128" w:type="pct"/>
            <w:vAlign w:val="center"/>
          </w:tcPr>
          <w:p>
            <w:pPr>
              <w:keepNext w:val="0"/>
              <w:keepLines w:val="0"/>
              <w:pageBreakBefore w:val="0"/>
              <w:widowControl w:val="0"/>
              <w:kinsoku/>
              <w:overflowPunct/>
              <w:topLinePunct w:val="0"/>
              <w:autoSpaceDE/>
              <w:autoSpaceDN/>
              <w:bidi w:val="0"/>
              <w:spacing w:line="360" w:lineRule="exact"/>
              <w:textAlignment w:val="auto"/>
              <w:outlineLvl w:val="9"/>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投标人针对本项目提供的项目实施方案：包含①项目人员配置及分工；②项目时间安排及进度计划（测量、制造、配送、补货等）；③质量保障措施；④现场售卖安排及安全保障措施；⑤应急预案；⑥售后服务保障等六个方面的内容。</w:t>
            </w:r>
          </w:p>
          <w:p>
            <w:pPr>
              <w:keepNext w:val="0"/>
              <w:keepLines w:val="0"/>
              <w:pageBreakBefore w:val="0"/>
              <w:widowControl w:val="0"/>
              <w:kinsoku/>
              <w:overflowPunct/>
              <w:topLinePunct w:val="0"/>
              <w:autoSpaceDE/>
              <w:autoSpaceDN/>
              <w:bidi w:val="0"/>
              <w:spacing w:line="360" w:lineRule="exact"/>
              <w:textAlignment w:val="auto"/>
              <w:outlineLvl w:val="9"/>
              <w:rPr>
                <w:rFonts w:hint="eastAsia"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根据投标人针对上述六个方面内容在投标文件中的响应情况进行综合评审：其中每有一方面内容满足要求的得1分，该方面中每有一处存在不足的扣0.5分，最多扣1分；每有一方面内容缺失或不满足要求的该方面内容不得分；本项最多6分。</w:t>
            </w:r>
          </w:p>
          <w:p>
            <w:pPr>
              <w:keepNext w:val="0"/>
              <w:keepLines w:val="0"/>
              <w:pageBreakBefore w:val="0"/>
              <w:widowControl w:val="0"/>
              <w:kinsoku/>
              <w:overflowPunct/>
              <w:topLinePunct w:val="0"/>
              <w:autoSpaceDE/>
              <w:autoSpaceDN/>
              <w:bidi w:val="0"/>
              <w:spacing w:line="360" w:lineRule="exact"/>
              <w:textAlignment w:val="auto"/>
              <w:outlineLvl w:val="9"/>
              <w:rPr>
                <w:rFonts w:hint="eastAsia" w:ascii="宋体" w:hAnsi="宋体" w:eastAsia="宋体" w:cs="宋体"/>
                <w:b/>
                <w:bCs w:val="0"/>
                <w:color w:val="auto"/>
                <w:kern w:val="0"/>
                <w:sz w:val="21"/>
                <w:szCs w:val="21"/>
                <w:highlight w:val="none"/>
                <w:lang w:val="en-US" w:eastAsia="zh-CN" w:bidi="ar"/>
              </w:rPr>
            </w:pPr>
            <w:r>
              <w:rPr>
                <w:rFonts w:hint="eastAsia" w:ascii="宋体" w:hAnsi="宋体" w:eastAsia="宋体" w:cs="宋体"/>
                <w:b/>
                <w:bCs w:val="0"/>
                <w:color w:val="auto"/>
                <w:kern w:val="0"/>
                <w:sz w:val="21"/>
                <w:szCs w:val="21"/>
                <w:highlight w:val="none"/>
                <w:lang w:val="en-US" w:eastAsia="zh-CN" w:bidi="ar"/>
              </w:rPr>
              <w:t>注：(1)以上内容满足要求是指①内容与项目技术服务需求吻合、层次细化，有具体详细的阐述；②阐述从实际出发，切合项目背景、项目需求以及市场供应情况发现问题并提出合理化专业技术建议或者解决方案；③内容符合国家、地方、行业标准、行业惯例以及项目特点</w:t>
            </w:r>
            <w:r>
              <w:rPr>
                <w:rFonts w:hint="eastAsia" w:cs="宋体"/>
                <w:b/>
                <w:bCs w:val="0"/>
                <w:color w:val="auto"/>
                <w:kern w:val="0"/>
                <w:sz w:val="21"/>
                <w:szCs w:val="21"/>
                <w:highlight w:val="none"/>
                <w:lang w:val="en-US" w:eastAsia="zh-CN" w:bidi="ar"/>
              </w:rPr>
              <w:t>、能有效落地执行和操作，保障项目高质量履约，实现采购目标；</w:t>
            </w:r>
            <w:r>
              <w:rPr>
                <w:rFonts w:hint="eastAsia" w:ascii="宋体" w:hAnsi="宋体" w:eastAsia="宋体" w:cs="宋体"/>
                <w:b/>
                <w:bCs w:val="0"/>
                <w:color w:val="auto"/>
                <w:kern w:val="0"/>
                <w:sz w:val="21"/>
                <w:szCs w:val="21"/>
                <w:highlight w:val="none"/>
                <w:lang w:val="en-US" w:eastAsia="zh-CN" w:bidi="ar"/>
              </w:rPr>
              <w:t>④内容清楚明了、表述规范、含义准确。</w:t>
            </w:r>
          </w:p>
          <w:p>
            <w:pPr>
              <w:pStyle w:val="44"/>
              <w:keepNext w:val="0"/>
              <w:keepLines w:val="0"/>
              <w:pageBreakBefore w:val="0"/>
              <w:widowControl w:val="0"/>
              <w:kinsoku/>
              <w:wordWrap w:val="0"/>
              <w:overflowPunct/>
              <w:autoSpaceDE/>
              <w:autoSpaceDN/>
              <w:bidi w:val="0"/>
              <w:adjustRightInd w:val="0"/>
              <w:snapToGrid w:val="0"/>
              <w:spacing w:line="360" w:lineRule="exact"/>
              <w:ind w:left="0" w:leftChars="0" w:right="0" w:rightChars="0" w:firstLine="0" w:firstLineChars="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val="0"/>
                <w:color w:val="auto"/>
                <w:kern w:val="0"/>
                <w:sz w:val="21"/>
                <w:szCs w:val="21"/>
                <w:highlight w:val="none"/>
                <w:lang w:val="en-US" w:eastAsia="zh-CN" w:bidi="ar"/>
              </w:rPr>
              <w:t>(2)存在不足是指①内容生搬硬造，阐述存在逻辑错误，前后矛盾；②涉及内容无重点，未能体现出本项目的特点或与实际需求不完全相符；③语言错误或存在歧义，项目名称、实施地点、政策、规范标准与本项目不一致等情形。</w:t>
            </w:r>
          </w:p>
        </w:tc>
        <w:tc>
          <w:tcPr>
            <w:tcW w:w="467" w:type="pct"/>
            <w:vAlign w:val="center"/>
          </w:tcPr>
          <w:p>
            <w:pPr>
              <w:spacing w:line="360" w:lineRule="exact"/>
              <w:jc w:val="center"/>
              <w:rPr>
                <w:rFonts w:hint="eastAsia"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73" w:type="pct"/>
            <w:vAlign w:val="center"/>
          </w:tcPr>
          <w:p>
            <w:pPr>
              <w:spacing w:line="360" w:lineRule="exact"/>
              <w:jc w:val="center"/>
              <w:rPr>
                <w:rFonts w:hint="eastAsia" w:eastAsia="宋体" w:cs="宋体"/>
                <w:color w:val="auto"/>
                <w:sz w:val="21"/>
                <w:szCs w:val="21"/>
                <w:highlight w:val="none"/>
                <w:lang w:val="en-US" w:eastAsia="zh-CN"/>
              </w:rPr>
            </w:pPr>
            <w:r>
              <w:rPr>
                <w:rFonts w:hint="eastAsia" w:cs="宋体"/>
                <w:color w:val="auto"/>
                <w:sz w:val="21"/>
                <w:szCs w:val="21"/>
                <w:highlight w:val="none"/>
                <w:lang w:val="en-US" w:eastAsia="zh-CN"/>
              </w:rPr>
              <w:t>五</w:t>
            </w:r>
          </w:p>
        </w:tc>
        <w:tc>
          <w:tcPr>
            <w:tcW w:w="557" w:type="pct"/>
            <w:vAlign w:val="center"/>
          </w:tcPr>
          <w:p>
            <w:pPr>
              <w:keepNext w:val="0"/>
              <w:keepLines w:val="0"/>
              <w:pageBreakBefore w:val="0"/>
              <w:widowControl w:val="0"/>
              <w:kinsoku/>
              <w:overflowPunct/>
              <w:autoSpaceDE/>
              <w:autoSpaceDN/>
              <w:bidi w:val="0"/>
              <w:adjustRightInd w:val="0"/>
              <w:snapToGrid w:val="0"/>
              <w:spacing w:line="360" w:lineRule="exact"/>
              <w:ind w:firstLine="0" w:firstLineChars="0"/>
              <w:jc w:val="center"/>
              <w:textAlignment w:val="auto"/>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业绩</w:t>
            </w:r>
          </w:p>
          <w:p>
            <w:pPr>
              <w:keepNext w:val="0"/>
              <w:keepLines w:val="0"/>
              <w:pageBreakBefore w:val="0"/>
              <w:widowControl w:val="0"/>
              <w:kinsoku/>
              <w:overflowPunct/>
              <w:autoSpaceDE/>
              <w:autoSpaceDN/>
              <w:bidi w:val="0"/>
              <w:adjustRightInd w:val="0"/>
              <w:snapToGrid w:val="0"/>
              <w:spacing w:line="360" w:lineRule="exact"/>
              <w:ind w:firstLine="0" w:firstLineChars="0"/>
              <w:jc w:val="center"/>
              <w:textAlignment w:val="auto"/>
              <w:rPr>
                <w:rFonts w:cs="宋体"/>
                <w:color w:val="auto"/>
                <w:sz w:val="21"/>
                <w:szCs w:val="21"/>
                <w:highlight w:val="none"/>
              </w:rPr>
            </w:pPr>
            <w:r>
              <w:rPr>
                <w:rFonts w:hint="eastAsia"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w:t>
            </w:r>
          </w:p>
        </w:tc>
        <w:tc>
          <w:tcPr>
            <w:tcW w:w="474" w:type="pct"/>
            <w:vAlign w:val="center"/>
          </w:tcPr>
          <w:p>
            <w:pPr>
              <w:keepNext w:val="0"/>
              <w:keepLines w:val="0"/>
              <w:pageBreakBefore w:val="0"/>
              <w:widowControl w:val="0"/>
              <w:kinsoku/>
              <w:overflowPunct/>
              <w:autoSpaceDE/>
              <w:autoSpaceDN/>
              <w:bidi w:val="0"/>
              <w:adjustRightInd w:val="0"/>
              <w:snapToGrid w:val="0"/>
              <w:spacing w:line="360" w:lineRule="exact"/>
              <w:ind w:firstLine="0" w:firstLineChars="0"/>
              <w:jc w:val="center"/>
              <w:textAlignment w:val="auto"/>
              <w:rPr>
                <w:rFonts w:cs="宋体"/>
                <w:color w:val="auto"/>
                <w:sz w:val="21"/>
                <w:szCs w:val="21"/>
                <w:highlight w:val="none"/>
              </w:rPr>
            </w:pPr>
            <w:r>
              <w:rPr>
                <w:rFonts w:hint="eastAsia"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分</w:t>
            </w:r>
          </w:p>
        </w:tc>
        <w:tc>
          <w:tcPr>
            <w:tcW w:w="3128" w:type="pct"/>
            <w:vAlign w:val="center"/>
          </w:tcPr>
          <w:p>
            <w:pPr>
              <w:keepNext w:val="0"/>
              <w:keepLines w:val="0"/>
              <w:pageBreakBefore w:val="0"/>
              <w:widowControl w:val="0"/>
              <w:kinsoku/>
              <w:overflowPunct/>
              <w:autoSpaceDE/>
              <w:autoSpaceDN/>
              <w:bidi w:val="0"/>
              <w:adjustRightInd w:val="0"/>
              <w:snapToGrid w:val="0"/>
              <w:spacing w:line="360" w:lineRule="exact"/>
              <w:ind w:firstLine="0" w:firstLineChars="0"/>
              <w:jc w:val="left"/>
              <w:textAlignment w:val="auto"/>
              <w:rPr>
                <w:rFonts w:hint="eastAsia" w:ascii="宋体" w:hAnsi="宋体" w:eastAsia="宋体" w:cs="宋体"/>
                <w:color w:val="auto"/>
                <w:kern w:val="0"/>
                <w:sz w:val="21"/>
                <w:szCs w:val="21"/>
                <w:highlight w:val="none"/>
                <w:lang w:eastAsia="zh-CN" w:bidi="ar"/>
              </w:rPr>
            </w:pPr>
            <w:r>
              <w:rPr>
                <w:rFonts w:hint="eastAsia" w:ascii="宋体" w:hAnsi="宋体" w:eastAsia="宋体" w:cs="宋体"/>
                <w:color w:val="auto"/>
                <w:kern w:val="0"/>
                <w:sz w:val="21"/>
                <w:szCs w:val="21"/>
                <w:highlight w:val="none"/>
                <w:lang w:eastAsia="zh-CN" w:bidi="ar"/>
              </w:rPr>
              <w:t>投标人</w:t>
            </w:r>
            <w:r>
              <w:rPr>
                <w:rFonts w:hint="eastAsia" w:ascii="宋体" w:hAnsi="宋体" w:eastAsia="宋体" w:cs="宋体"/>
                <w:color w:val="auto"/>
                <w:kern w:val="0"/>
                <w:sz w:val="21"/>
                <w:szCs w:val="21"/>
                <w:highlight w:val="none"/>
                <w:lang w:bidi="ar"/>
              </w:rPr>
              <w:t>提供20</w:t>
            </w:r>
            <w:r>
              <w:rPr>
                <w:rFonts w:hint="eastAsia" w:ascii="宋体" w:hAnsi="宋体" w:eastAsia="宋体" w:cs="宋体"/>
                <w:color w:val="auto"/>
                <w:kern w:val="0"/>
                <w:sz w:val="21"/>
                <w:szCs w:val="21"/>
                <w:highlight w:val="none"/>
                <w:lang w:val="en-US" w:eastAsia="zh-CN" w:bidi="ar"/>
              </w:rPr>
              <w:t>22</w:t>
            </w:r>
            <w:r>
              <w:rPr>
                <w:rFonts w:hint="eastAsia" w:ascii="宋体" w:hAnsi="宋体" w:eastAsia="宋体" w:cs="宋体"/>
                <w:color w:val="auto"/>
                <w:kern w:val="0"/>
                <w:sz w:val="21"/>
                <w:szCs w:val="21"/>
                <w:highlight w:val="none"/>
                <w:lang w:bidi="ar"/>
              </w:rPr>
              <w:t>年1月1日</w:t>
            </w:r>
            <w:r>
              <w:rPr>
                <w:rFonts w:hint="eastAsia" w:ascii="宋体" w:hAnsi="宋体" w:eastAsia="宋体" w:cs="宋体"/>
                <w:color w:val="auto"/>
                <w:kern w:val="0"/>
                <w:sz w:val="21"/>
                <w:szCs w:val="21"/>
                <w:highlight w:val="none"/>
                <w:lang w:val="en-US" w:bidi="ar"/>
              </w:rPr>
              <w:t>(</w:t>
            </w:r>
            <w:r>
              <w:rPr>
                <w:rFonts w:hint="eastAsia" w:ascii="宋体" w:hAnsi="宋体" w:eastAsia="宋体" w:cs="宋体"/>
                <w:color w:val="auto"/>
                <w:kern w:val="0"/>
                <w:sz w:val="21"/>
                <w:szCs w:val="21"/>
                <w:highlight w:val="none"/>
                <w:lang w:bidi="ar"/>
              </w:rPr>
              <w:t>含1日</w:t>
            </w:r>
            <w:r>
              <w:rPr>
                <w:rFonts w:hint="eastAsia" w:ascii="宋体" w:hAnsi="宋体" w:eastAsia="宋体" w:cs="宋体"/>
                <w:color w:val="auto"/>
                <w:kern w:val="0"/>
                <w:sz w:val="21"/>
                <w:szCs w:val="21"/>
                <w:highlight w:val="none"/>
                <w:lang w:val="en-US" w:bidi="ar"/>
              </w:rPr>
              <w:t>)</w:t>
            </w:r>
            <w:r>
              <w:rPr>
                <w:rFonts w:hint="eastAsia" w:ascii="宋体" w:hAnsi="宋体" w:eastAsia="宋体" w:cs="宋体"/>
                <w:color w:val="auto"/>
                <w:kern w:val="0"/>
                <w:sz w:val="21"/>
                <w:szCs w:val="21"/>
                <w:highlight w:val="none"/>
                <w:lang w:bidi="ar"/>
              </w:rPr>
              <w:t>以来</w:t>
            </w:r>
            <w:r>
              <w:rPr>
                <w:rFonts w:hint="eastAsia" w:ascii="宋体" w:hAnsi="宋体" w:eastAsia="宋体" w:cs="宋体"/>
                <w:color w:val="auto"/>
                <w:kern w:val="0"/>
                <w:sz w:val="21"/>
                <w:szCs w:val="21"/>
                <w:highlight w:val="none"/>
                <w:lang w:val="en-US" w:eastAsia="zh-CN" w:bidi="ar"/>
              </w:rPr>
              <w:t>具有</w:t>
            </w:r>
            <w:r>
              <w:rPr>
                <w:rFonts w:hint="eastAsia" w:ascii="宋体" w:hAnsi="宋体" w:eastAsia="宋体" w:cs="宋体"/>
                <w:color w:val="auto"/>
                <w:kern w:val="0"/>
                <w:sz w:val="21"/>
                <w:szCs w:val="21"/>
                <w:highlight w:val="none"/>
                <w:lang w:bidi="ar"/>
              </w:rPr>
              <w:t>类似</w:t>
            </w:r>
            <w:r>
              <w:rPr>
                <w:rFonts w:hint="eastAsia" w:ascii="宋体" w:hAnsi="宋体" w:eastAsia="宋体" w:cs="宋体"/>
                <w:color w:val="auto"/>
                <w:kern w:val="0"/>
                <w:sz w:val="21"/>
                <w:szCs w:val="21"/>
                <w:highlight w:val="none"/>
                <w:lang w:eastAsia="zh-CN" w:bidi="ar"/>
              </w:rPr>
              <w:t>项目</w:t>
            </w:r>
            <w:r>
              <w:rPr>
                <w:rFonts w:hint="eastAsia" w:ascii="宋体" w:hAnsi="宋体" w:eastAsia="宋体" w:cs="宋体"/>
                <w:color w:val="auto"/>
                <w:kern w:val="0"/>
                <w:sz w:val="21"/>
                <w:szCs w:val="21"/>
                <w:highlight w:val="none"/>
                <w:lang w:bidi="ar"/>
              </w:rPr>
              <w:t>业绩</w:t>
            </w:r>
            <w:r>
              <w:rPr>
                <w:rFonts w:hint="eastAsia" w:ascii="宋体" w:hAnsi="宋体" w:eastAsia="宋体" w:cs="宋体"/>
                <w:color w:val="auto"/>
                <w:kern w:val="0"/>
                <w:sz w:val="21"/>
                <w:szCs w:val="21"/>
                <w:highlight w:val="none"/>
                <w:lang w:eastAsia="zh-CN" w:bidi="ar"/>
              </w:rPr>
              <w:t>，每</w:t>
            </w:r>
            <w:r>
              <w:rPr>
                <w:rFonts w:hint="eastAsia" w:ascii="宋体" w:hAnsi="宋体" w:eastAsia="宋体" w:cs="宋体"/>
                <w:color w:val="auto"/>
                <w:kern w:val="0"/>
                <w:sz w:val="21"/>
                <w:szCs w:val="21"/>
                <w:highlight w:val="none"/>
                <w:lang w:val="en-US" w:eastAsia="zh-CN" w:bidi="ar"/>
              </w:rPr>
              <w:t>提供</w:t>
            </w:r>
            <w:r>
              <w:rPr>
                <w:rFonts w:hint="eastAsia" w:ascii="宋体" w:hAnsi="宋体" w:eastAsia="宋体" w:cs="宋体"/>
                <w:color w:val="auto"/>
                <w:kern w:val="0"/>
                <w:sz w:val="21"/>
                <w:szCs w:val="21"/>
                <w:highlight w:val="none"/>
                <w:lang w:eastAsia="zh-CN" w:bidi="ar"/>
              </w:rPr>
              <w:t>有</w:t>
            </w:r>
            <w:r>
              <w:rPr>
                <w:rFonts w:hint="eastAsia" w:ascii="宋体" w:hAnsi="宋体" w:eastAsia="宋体" w:cs="宋体"/>
                <w:color w:val="auto"/>
                <w:kern w:val="0"/>
                <w:sz w:val="21"/>
                <w:szCs w:val="21"/>
                <w:highlight w:val="none"/>
                <w:lang w:bidi="ar"/>
              </w:rPr>
              <w:t>一个</w:t>
            </w:r>
            <w:r>
              <w:rPr>
                <w:rFonts w:hint="eastAsia" w:ascii="宋体" w:hAnsi="宋体" w:eastAsia="宋体" w:cs="宋体"/>
                <w:color w:val="auto"/>
                <w:kern w:val="0"/>
                <w:sz w:val="21"/>
                <w:szCs w:val="21"/>
                <w:highlight w:val="none"/>
                <w:lang w:eastAsia="zh-CN" w:bidi="ar"/>
              </w:rPr>
              <w:t>得</w:t>
            </w:r>
            <w:r>
              <w:rPr>
                <w:rFonts w:hint="eastAsia"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分，最多得</w:t>
            </w:r>
            <w:r>
              <w:rPr>
                <w:rFonts w:hint="eastAsia"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 xml:space="preserve">分。  </w:t>
            </w:r>
          </w:p>
          <w:p>
            <w:pPr>
              <w:keepNext w:val="0"/>
              <w:keepLines w:val="0"/>
              <w:pageBreakBefore w:val="0"/>
              <w:widowControl w:val="0"/>
              <w:kinsoku/>
              <w:overflowPunct/>
              <w:autoSpaceDE/>
              <w:autoSpaceDN/>
              <w:bidi w:val="0"/>
              <w:adjustRightInd w:val="0"/>
              <w:snapToGrid w:val="0"/>
              <w:spacing w:line="360" w:lineRule="exact"/>
              <w:ind w:firstLine="0" w:firstLineChars="0"/>
              <w:jc w:val="left"/>
              <w:textAlignment w:val="auto"/>
              <w:rPr>
                <w:rFonts w:cs="宋体"/>
                <w:b/>
                <w:bCs/>
                <w:color w:val="auto"/>
                <w:sz w:val="21"/>
                <w:szCs w:val="21"/>
                <w:highlight w:val="none"/>
              </w:rPr>
            </w:pPr>
            <w:r>
              <w:rPr>
                <w:rFonts w:hint="eastAsia" w:ascii="宋体" w:hAnsi="宋体" w:eastAsia="宋体" w:cs="宋体"/>
                <w:b/>
                <w:bCs/>
                <w:color w:val="auto"/>
                <w:kern w:val="0"/>
                <w:sz w:val="21"/>
                <w:szCs w:val="21"/>
                <w:highlight w:val="none"/>
                <w:lang w:eastAsia="zh-CN" w:bidi="ar"/>
              </w:rPr>
              <w:t>说明：</w:t>
            </w:r>
            <w:r>
              <w:rPr>
                <w:rFonts w:hint="eastAsia" w:ascii="宋体" w:hAnsi="宋体" w:eastAsia="宋体" w:cs="宋体"/>
                <w:b/>
                <w:bCs/>
                <w:color w:val="auto"/>
                <w:kern w:val="0"/>
                <w:sz w:val="21"/>
                <w:szCs w:val="21"/>
                <w:highlight w:val="none"/>
                <w:lang w:val="en-US" w:eastAsia="zh-CN" w:bidi="ar"/>
              </w:rPr>
              <w:t>提供完整的合同复印件；</w:t>
            </w:r>
            <w:r>
              <w:rPr>
                <w:rFonts w:hint="eastAsia" w:ascii="宋体" w:hAnsi="宋体" w:eastAsia="宋体" w:cs="宋体"/>
                <w:b/>
                <w:bCs/>
                <w:color w:val="auto"/>
                <w:kern w:val="0"/>
                <w:sz w:val="21"/>
                <w:szCs w:val="21"/>
                <w:highlight w:val="none"/>
                <w:lang w:bidi="ar"/>
              </w:rPr>
              <w:t>类似业绩指:</w:t>
            </w:r>
            <w:r>
              <w:rPr>
                <w:rFonts w:hint="eastAsia" w:ascii="宋体" w:hAnsi="宋体" w:eastAsia="宋体" w:cs="宋体"/>
                <w:b/>
                <w:bCs/>
                <w:color w:val="auto"/>
                <w:kern w:val="0"/>
                <w:sz w:val="21"/>
                <w:szCs w:val="21"/>
                <w:highlight w:val="none"/>
                <w:lang w:eastAsia="zh-CN" w:bidi="ar"/>
              </w:rPr>
              <w:t>投标人</w:t>
            </w:r>
            <w:r>
              <w:rPr>
                <w:rFonts w:hint="eastAsia" w:ascii="宋体" w:hAnsi="宋体" w:eastAsia="宋体" w:cs="宋体"/>
                <w:b/>
                <w:bCs/>
                <w:color w:val="auto"/>
                <w:kern w:val="0"/>
                <w:sz w:val="21"/>
                <w:szCs w:val="21"/>
                <w:highlight w:val="none"/>
                <w:lang w:bidi="ar"/>
              </w:rPr>
              <w:t>有服装制作</w:t>
            </w:r>
            <w:r>
              <w:rPr>
                <w:rFonts w:hint="eastAsia" w:ascii="宋体" w:hAnsi="宋体" w:eastAsia="宋体" w:cs="宋体"/>
                <w:b/>
                <w:bCs/>
                <w:color w:val="auto"/>
                <w:kern w:val="0"/>
                <w:sz w:val="21"/>
                <w:szCs w:val="21"/>
                <w:highlight w:val="none"/>
                <w:lang w:val="en-US" w:eastAsia="zh-CN" w:bidi="ar"/>
              </w:rPr>
              <w:t>类业绩</w:t>
            </w:r>
            <w:r>
              <w:rPr>
                <w:rFonts w:hint="eastAsia" w:ascii="宋体" w:hAnsi="宋体" w:eastAsia="宋体" w:cs="宋体"/>
                <w:b/>
                <w:bCs/>
                <w:color w:val="auto"/>
                <w:kern w:val="0"/>
                <w:sz w:val="21"/>
                <w:szCs w:val="21"/>
                <w:highlight w:val="none"/>
                <w:lang w:bidi="ar"/>
              </w:rPr>
              <w:t>。</w:t>
            </w:r>
          </w:p>
        </w:tc>
        <w:tc>
          <w:tcPr>
            <w:tcW w:w="467" w:type="pct"/>
            <w:vAlign w:val="center"/>
          </w:tcPr>
          <w:p>
            <w:pPr>
              <w:spacing w:line="360" w:lineRule="exact"/>
              <w:jc w:val="center"/>
              <w:rPr>
                <w:rFonts w:cs="宋体"/>
                <w:color w:val="auto"/>
                <w:sz w:val="21"/>
                <w:szCs w:val="21"/>
                <w:highlight w:val="none"/>
              </w:rPr>
            </w:pPr>
            <w:r>
              <w:rPr>
                <w:rFonts w:hint="eastAsia" w:cs="宋体"/>
                <w:color w:val="auto"/>
                <w:sz w:val="21"/>
                <w:szCs w:val="21"/>
                <w:highlight w:val="none"/>
              </w:rPr>
              <w:t>共同评</w:t>
            </w:r>
          </w:p>
          <w:p>
            <w:pPr>
              <w:spacing w:line="360" w:lineRule="exact"/>
              <w:jc w:val="center"/>
              <w:rPr>
                <w:rFonts w:cs="宋体"/>
                <w:color w:val="auto"/>
                <w:sz w:val="21"/>
                <w:szCs w:val="21"/>
                <w:highlight w:val="none"/>
              </w:rPr>
            </w:pPr>
            <w:r>
              <w:rPr>
                <w:rFonts w:hint="eastAsia" w:cs="宋体"/>
                <w:color w:val="auto"/>
                <w:sz w:val="21"/>
                <w:szCs w:val="21"/>
                <w:highlight w:val="none"/>
              </w:rPr>
              <w:t>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73" w:type="pct"/>
            <w:vAlign w:val="center"/>
          </w:tcPr>
          <w:p>
            <w:pPr>
              <w:spacing w:line="360" w:lineRule="exact"/>
              <w:jc w:val="center"/>
              <w:rPr>
                <w:rFonts w:hint="eastAsia" w:eastAsia="宋体" w:cs="宋体"/>
                <w:color w:val="auto"/>
                <w:sz w:val="21"/>
                <w:szCs w:val="21"/>
                <w:highlight w:val="none"/>
                <w:lang w:val="en-US" w:eastAsia="zh-CN"/>
              </w:rPr>
            </w:pPr>
            <w:r>
              <w:rPr>
                <w:rFonts w:hint="eastAsia" w:cs="宋体"/>
                <w:color w:val="auto"/>
                <w:sz w:val="21"/>
                <w:szCs w:val="21"/>
                <w:highlight w:val="none"/>
                <w:lang w:val="en-US" w:eastAsia="zh-CN"/>
              </w:rPr>
              <w:t>六</w:t>
            </w:r>
          </w:p>
        </w:tc>
        <w:tc>
          <w:tcPr>
            <w:tcW w:w="557" w:type="pct"/>
            <w:vAlign w:val="center"/>
          </w:tcPr>
          <w:p>
            <w:pPr>
              <w:spacing w:line="360" w:lineRule="exact"/>
              <w:jc w:val="center"/>
              <w:rPr>
                <w:rFonts w:hint="eastAsia" w:cs="宋体"/>
                <w:color w:val="auto"/>
                <w:kern w:val="0"/>
                <w:sz w:val="21"/>
                <w:szCs w:val="21"/>
                <w:highlight w:val="none"/>
                <w:lang w:val="en-US" w:eastAsia="zh-CN"/>
              </w:rPr>
            </w:pPr>
            <w:r>
              <w:rPr>
                <w:rFonts w:hint="eastAsia" w:cs="宋体"/>
                <w:color w:val="auto"/>
                <w:kern w:val="0"/>
                <w:sz w:val="21"/>
                <w:szCs w:val="21"/>
                <w:highlight w:val="none"/>
                <w:lang w:val="en-US" w:eastAsia="zh-CN"/>
              </w:rPr>
              <w:t>企业实力</w:t>
            </w:r>
          </w:p>
          <w:p>
            <w:pPr>
              <w:spacing w:line="360" w:lineRule="exact"/>
              <w:jc w:val="center"/>
              <w:rPr>
                <w:rFonts w:cs="宋体"/>
                <w:color w:val="auto"/>
                <w:sz w:val="21"/>
                <w:szCs w:val="21"/>
                <w:highlight w:val="none"/>
              </w:rPr>
            </w:pPr>
            <w:r>
              <w:rPr>
                <w:rFonts w:hint="eastAsia" w:cs="宋体"/>
                <w:color w:val="auto"/>
                <w:kern w:val="0"/>
                <w:sz w:val="21"/>
                <w:szCs w:val="21"/>
                <w:highlight w:val="none"/>
                <w:lang w:val="en-US" w:eastAsia="zh-CN"/>
              </w:rPr>
              <w:t>3%</w:t>
            </w:r>
          </w:p>
        </w:tc>
        <w:tc>
          <w:tcPr>
            <w:tcW w:w="474" w:type="pct"/>
            <w:vAlign w:val="center"/>
          </w:tcPr>
          <w:p>
            <w:pPr>
              <w:spacing w:line="360" w:lineRule="exact"/>
              <w:jc w:val="center"/>
              <w:rPr>
                <w:rFonts w:cs="宋体"/>
                <w:color w:val="auto"/>
                <w:sz w:val="21"/>
                <w:szCs w:val="21"/>
                <w:highlight w:val="none"/>
              </w:rPr>
            </w:pPr>
            <w:r>
              <w:rPr>
                <w:rFonts w:hint="eastAsia" w:cs="宋体"/>
                <w:color w:val="auto"/>
                <w:kern w:val="0"/>
                <w:sz w:val="21"/>
                <w:szCs w:val="21"/>
                <w:highlight w:val="none"/>
                <w:lang w:val="en-US" w:eastAsia="zh-CN"/>
              </w:rPr>
              <w:t>3</w:t>
            </w:r>
            <w:r>
              <w:rPr>
                <w:rFonts w:hint="eastAsia" w:cs="宋体"/>
                <w:color w:val="auto"/>
                <w:kern w:val="0"/>
                <w:sz w:val="21"/>
                <w:szCs w:val="21"/>
                <w:highlight w:val="none"/>
              </w:rPr>
              <w:t>分</w:t>
            </w:r>
          </w:p>
        </w:tc>
        <w:tc>
          <w:tcPr>
            <w:tcW w:w="3128" w:type="pct"/>
            <w:vAlign w:val="center"/>
          </w:tcPr>
          <w:p>
            <w:pPr>
              <w:spacing w:line="360" w:lineRule="exact"/>
              <w:rPr>
                <w:rFonts w:hint="eastAsia" w:cs="宋体"/>
                <w:color w:val="auto"/>
                <w:sz w:val="21"/>
                <w:szCs w:val="21"/>
                <w:highlight w:val="none"/>
              </w:rPr>
            </w:pPr>
            <w:r>
              <w:rPr>
                <w:rFonts w:hint="eastAsia" w:cs="宋体"/>
                <w:color w:val="auto"/>
                <w:sz w:val="21"/>
                <w:szCs w:val="21"/>
                <w:highlight w:val="none"/>
              </w:rPr>
              <w:t>投标人</w:t>
            </w:r>
            <w:r>
              <w:rPr>
                <w:rFonts w:hint="eastAsia" w:cs="宋体"/>
                <w:color w:val="auto"/>
                <w:sz w:val="21"/>
                <w:szCs w:val="21"/>
                <w:highlight w:val="none"/>
                <w:lang w:val="en-US" w:eastAsia="zh-CN"/>
              </w:rPr>
              <w:t>或者投标产品生产厂家</w:t>
            </w:r>
            <w:r>
              <w:rPr>
                <w:rFonts w:hint="eastAsia" w:cs="宋体"/>
                <w:color w:val="auto"/>
                <w:sz w:val="21"/>
                <w:szCs w:val="21"/>
                <w:highlight w:val="none"/>
              </w:rPr>
              <w:t>具有服装相关专利证书的每有一个得1分，最多得</w:t>
            </w:r>
            <w:r>
              <w:rPr>
                <w:rFonts w:hint="eastAsia" w:cs="宋体"/>
                <w:color w:val="auto"/>
                <w:sz w:val="21"/>
                <w:szCs w:val="21"/>
                <w:highlight w:val="none"/>
                <w:lang w:val="en-US" w:eastAsia="zh-CN"/>
              </w:rPr>
              <w:t>3</w:t>
            </w:r>
            <w:r>
              <w:rPr>
                <w:rFonts w:hint="eastAsia" w:cs="宋体"/>
                <w:color w:val="auto"/>
                <w:sz w:val="21"/>
                <w:szCs w:val="21"/>
                <w:highlight w:val="none"/>
              </w:rPr>
              <w:t>分。</w:t>
            </w:r>
          </w:p>
          <w:p>
            <w:pPr>
              <w:spacing w:line="360" w:lineRule="exact"/>
              <w:rPr>
                <w:rFonts w:cs="宋体"/>
                <w:color w:val="auto"/>
                <w:sz w:val="21"/>
                <w:szCs w:val="21"/>
                <w:highlight w:val="none"/>
              </w:rPr>
            </w:pPr>
            <w:r>
              <w:rPr>
                <w:rFonts w:hint="eastAsia" w:cs="宋体"/>
                <w:b/>
                <w:bCs/>
                <w:color w:val="auto"/>
                <w:sz w:val="21"/>
                <w:szCs w:val="21"/>
                <w:highlight w:val="none"/>
              </w:rPr>
              <w:t>注：提供</w:t>
            </w:r>
            <w:r>
              <w:rPr>
                <w:rFonts w:hint="eastAsia" w:cs="宋体"/>
                <w:b/>
                <w:bCs/>
                <w:color w:val="auto"/>
                <w:sz w:val="21"/>
                <w:szCs w:val="21"/>
                <w:highlight w:val="none"/>
                <w:lang w:val="en-US" w:eastAsia="zh-CN"/>
              </w:rPr>
              <w:t>相关</w:t>
            </w:r>
            <w:r>
              <w:rPr>
                <w:rFonts w:hint="eastAsia" w:cs="宋体"/>
                <w:b/>
                <w:bCs/>
                <w:color w:val="auto"/>
                <w:sz w:val="21"/>
                <w:szCs w:val="21"/>
                <w:highlight w:val="none"/>
              </w:rPr>
              <w:t>证书复印件。</w:t>
            </w:r>
          </w:p>
        </w:tc>
        <w:tc>
          <w:tcPr>
            <w:tcW w:w="467" w:type="pct"/>
            <w:vAlign w:val="center"/>
          </w:tcPr>
          <w:p>
            <w:pPr>
              <w:spacing w:line="360" w:lineRule="exact"/>
              <w:jc w:val="center"/>
              <w:rPr>
                <w:rFonts w:cs="宋体"/>
                <w:color w:val="auto"/>
                <w:sz w:val="21"/>
                <w:szCs w:val="21"/>
                <w:highlight w:val="none"/>
              </w:rPr>
            </w:pPr>
            <w:r>
              <w:rPr>
                <w:rFonts w:hint="eastAsia" w:cs="宋体"/>
                <w:color w:val="auto"/>
                <w:sz w:val="21"/>
                <w:szCs w:val="21"/>
                <w:highlight w:val="none"/>
              </w:rPr>
              <w:t>共同评</w:t>
            </w:r>
          </w:p>
          <w:p>
            <w:pPr>
              <w:spacing w:line="360" w:lineRule="exact"/>
              <w:jc w:val="center"/>
              <w:rPr>
                <w:rFonts w:cs="宋体"/>
                <w:color w:val="auto"/>
                <w:sz w:val="21"/>
                <w:szCs w:val="21"/>
                <w:highlight w:val="none"/>
              </w:rPr>
            </w:pPr>
            <w:r>
              <w:rPr>
                <w:rFonts w:hint="eastAsia" w:cs="宋体"/>
                <w:color w:val="auto"/>
                <w:sz w:val="21"/>
                <w:szCs w:val="21"/>
                <w:highlight w:val="none"/>
              </w:rPr>
              <w:t>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pStyle w:val="47"/>
              <w:spacing w:line="400" w:lineRule="exact"/>
              <w:ind w:left="24" w:leftChars="10" w:right="24" w:rightChars="10"/>
              <w:jc w:val="both"/>
              <w:rPr>
                <w:rFonts w:cs="宋体"/>
                <w:color w:val="auto"/>
                <w:szCs w:val="21"/>
                <w:highlight w:val="none"/>
              </w:rPr>
            </w:pPr>
            <w:r>
              <w:rPr>
                <w:rFonts w:hint="eastAsia" w:cs="宋体"/>
                <w:color w:val="auto"/>
                <w:szCs w:val="21"/>
                <w:highlight w:val="none"/>
              </w:rPr>
              <w:t>注：①评分的取值按四舍五入法，小数点后保留两位。</w:t>
            </w:r>
          </w:p>
          <w:p>
            <w:pPr>
              <w:pStyle w:val="47"/>
              <w:spacing w:line="400" w:lineRule="exact"/>
              <w:ind w:left="24" w:leftChars="10" w:right="24" w:rightChars="10"/>
              <w:jc w:val="both"/>
              <w:rPr>
                <w:rFonts w:cs="宋体"/>
                <w:b/>
                <w:bCs/>
                <w:color w:val="auto"/>
                <w:sz w:val="21"/>
                <w:szCs w:val="21"/>
                <w:highlight w:val="none"/>
              </w:rPr>
            </w:pPr>
            <w:r>
              <w:rPr>
                <w:rFonts w:hint="eastAsia" w:cs="宋体"/>
                <w:color w:val="auto"/>
                <w:szCs w:val="21"/>
                <w:highlight w:val="none"/>
              </w:rPr>
              <w:t>②本表中要求提供各类证明材料应清晰可辨，均需加盖供应商公章，否则将不认可该项材料的有效性。</w:t>
            </w:r>
          </w:p>
        </w:tc>
      </w:tr>
      <w:bookmarkEnd w:id="1274"/>
    </w:tbl>
    <w:p>
      <w:pPr>
        <w:pStyle w:val="36"/>
        <w:numPr>
          <w:ilvl w:val="1"/>
          <w:numId w:val="15"/>
        </w:numPr>
        <w:tabs>
          <w:tab w:val="left" w:pos="3603"/>
        </w:tabs>
        <w:spacing w:line="520" w:lineRule="exact"/>
        <w:ind w:firstLine="482"/>
        <w:rPr>
          <w:color w:val="auto"/>
          <w:highlight w:val="none"/>
        </w:rPr>
      </w:pPr>
      <w:bookmarkStart w:id="1282" w:name="_Toc1158"/>
      <w:r>
        <w:rPr>
          <w:rFonts w:hint="eastAsia"/>
          <w:color w:val="auto"/>
          <w:highlight w:val="none"/>
        </w:rPr>
        <w:t>复核</w:t>
      </w:r>
      <w:bookmarkEnd w:id="1275"/>
      <w:bookmarkEnd w:id="1276"/>
      <w:bookmarkEnd w:id="1282"/>
      <w:r>
        <w:rPr>
          <w:rFonts w:hint="eastAsia"/>
          <w:color w:val="auto"/>
          <w:highlight w:val="none"/>
        </w:rPr>
        <w:tab/>
      </w:r>
    </w:p>
    <w:p>
      <w:pPr>
        <w:pStyle w:val="34"/>
        <w:numPr>
          <w:ilvl w:val="1"/>
          <w:numId w:val="38"/>
        </w:numPr>
        <w:spacing w:line="520" w:lineRule="exact"/>
        <w:ind w:firstLine="480"/>
        <w:rPr>
          <w:color w:val="auto"/>
          <w:highlight w:val="none"/>
        </w:rPr>
      </w:pPr>
      <w:r>
        <w:rPr>
          <w:rFonts w:hint="eastAsia"/>
          <w:color w:val="auto"/>
          <w:highlight w:val="none"/>
        </w:rPr>
        <w:t>评标委员会复核</w:t>
      </w:r>
    </w:p>
    <w:p>
      <w:pPr>
        <w:pStyle w:val="44"/>
        <w:spacing w:line="520" w:lineRule="exact"/>
        <w:ind w:firstLine="480" w:firstLineChars="200"/>
        <w:rPr>
          <w:color w:val="auto"/>
          <w:highlight w:val="none"/>
        </w:rPr>
      </w:pPr>
      <w:r>
        <w:rPr>
          <w:rFonts w:hint="eastAsia"/>
          <w:color w:val="auto"/>
          <w:highlight w:val="none"/>
        </w:rPr>
        <w:t>评分汇总结束后，评标委员会应当进行复核，特别要对拟推荐为中标候选供应商的、报价最低的、投标文件被认定为无效的进行重点复核。</w:t>
      </w:r>
    </w:p>
    <w:p>
      <w:pPr>
        <w:pStyle w:val="34"/>
        <w:spacing w:line="520" w:lineRule="exact"/>
        <w:ind w:firstLine="480"/>
        <w:rPr>
          <w:color w:val="auto"/>
          <w:highlight w:val="none"/>
        </w:rPr>
      </w:pPr>
      <w:r>
        <w:rPr>
          <w:rFonts w:hint="eastAsia"/>
          <w:color w:val="auto"/>
          <w:highlight w:val="none"/>
        </w:rPr>
        <w:t>采购代理机构现场复核评审结果</w:t>
      </w:r>
    </w:p>
    <w:p>
      <w:pPr>
        <w:pStyle w:val="37"/>
        <w:spacing w:line="520" w:lineRule="exact"/>
        <w:ind w:firstLine="480"/>
        <w:rPr>
          <w:color w:val="auto"/>
          <w:highlight w:val="none"/>
        </w:rPr>
      </w:pPr>
      <w:r>
        <w:rPr>
          <w:rFonts w:hint="eastAsia"/>
          <w:color w:val="auto"/>
          <w:highlight w:val="none"/>
        </w:rPr>
        <w:t>评审结果汇总完成后，评标委员会拟出具评标报告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pStyle w:val="38"/>
        <w:spacing w:line="520" w:lineRule="exact"/>
        <w:ind w:firstLine="480"/>
        <w:rPr>
          <w:color w:val="auto"/>
          <w:highlight w:val="none"/>
        </w:rPr>
      </w:pPr>
      <w:r>
        <w:rPr>
          <w:rFonts w:hint="eastAsia"/>
          <w:color w:val="auto"/>
          <w:highlight w:val="none"/>
        </w:rPr>
        <w:t>分值汇总计算错误的；</w:t>
      </w:r>
    </w:p>
    <w:p>
      <w:pPr>
        <w:pStyle w:val="38"/>
        <w:spacing w:line="520" w:lineRule="exact"/>
        <w:ind w:firstLine="480"/>
        <w:rPr>
          <w:color w:val="auto"/>
          <w:highlight w:val="none"/>
        </w:rPr>
      </w:pPr>
      <w:r>
        <w:rPr>
          <w:rFonts w:hint="eastAsia"/>
          <w:color w:val="auto"/>
          <w:highlight w:val="none"/>
        </w:rPr>
        <w:t>分项评分超出评分标准范围的；</w:t>
      </w:r>
    </w:p>
    <w:p>
      <w:pPr>
        <w:pStyle w:val="38"/>
        <w:spacing w:line="520" w:lineRule="exact"/>
        <w:ind w:firstLine="480"/>
        <w:rPr>
          <w:color w:val="auto"/>
          <w:highlight w:val="none"/>
        </w:rPr>
      </w:pPr>
      <w:r>
        <w:rPr>
          <w:rFonts w:hint="eastAsia"/>
          <w:color w:val="auto"/>
          <w:highlight w:val="none"/>
        </w:rPr>
        <w:t>评标委员会成员对客观评审因素评分不一致的；</w:t>
      </w:r>
    </w:p>
    <w:p>
      <w:pPr>
        <w:pStyle w:val="38"/>
        <w:spacing w:line="520" w:lineRule="exact"/>
        <w:ind w:firstLine="480"/>
        <w:rPr>
          <w:color w:val="auto"/>
          <w:highlight w:val="none"/>
        </w:rPr>
      </w:pPr>
      <w:r>
        <w:rPr>
          <w:rFonts w:hint="eastAsia"/>
          <w:color w:val="auto"/>
          <w:highlight w:val="none"/>
        </w:rPr>
        <w:t>经评标委员会认定评分畸高、畸低的。</w:t>
      </w:r>
    </w:p>
    <w:p>
      <w:pPr>
        <w:pStyle w:val="48"/>
        <w:spacing w:line="520" w:lineRule="exact"/>
        <w:rPr>
          <w:color w:val="auto"/>
          <w:highlight w:val="none"/>
        </w:rPr>
      </w:pPr>
      <w:r>
        <w:rPr>
          <w:rFonts w:hint="eastAsia"/>
          <w:color w:val="auto"/>
          <w:highlight w:val="none"/>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w:t>
      </w:r>
    </w:p>
    <w:p>
      <w:pPr>
        <w:pStyle w:val="48"/>
        <w:spacing w:line="520" w:lineRule="exact"/>
        <w:rPr>
          <w:color w:val="auto"/>
          <w:highlight w:val="none"/>
        </w:rPr>
      </w:pPr>
      <w:r>
        <w:rPr>
          <w:rFonts w:hint="eastAsia"/>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37"/>
        <w:spacing w:line="520" w:lineRule="exact"/>
        <w:ind w:firstLine="480"/>
        <w:rPr>
          <w:color w:val="auto"/>
          <w:highlight w:val="none"/>
        </w:rPr>
      </w:pPr>
      <w:r>
        <w:rPr>
          <w:rFonts w:hint="eastAsia"/>
          <w:color w:val="auto"/>
          <w:highlight w:val="none"/>
        </w:rPr>
        <w:t>采购代理机构复核过程中，评标委员会不得离开评标现场。</w:t>
      </w:r>
    </w:p>
    <w:p>
      <w:pPr>
        <w:pStyle w:val="37"/>
        <w:spacing w:line="520" w:lineRule="exact"/>
        <w:ind w:firstLine="480"/>
        <w:rPr>
          <w:color w:val="auto"/>
          <w:highlight w:val="none"/>
        </w:rPr>
      </w:pPr>
      <w:r>
        <w:rPr>
          <w:rFonts w:hint="eastAsia"/>
          <w:color w:val="auto"/>
          <w:highlight w:val="none"/>
        </w:rPr>
        <w:t>有下列情形之一的，不得修改评标结果或者重新评标：</w:t>
      </w:r>
    </w:p>
    <w:p>
      <w:pPr>
        <w:pStyle w:val="38"/>
        <w:spacing w:line="520" w:lineRule="exact"/>
        <w:ind w:firstLine="480"/>
        <w:rPr>
          <w:color w:val="auto"/>
          <w:highlight w:val="none"/>
        </w:rPr>
      </w:pPr>
      <w:r>
        <w:rPr>
          <w:rFonts w:hint="eastAsia"/>
          <w:color w:val="auto"/>
          <w:highlight w:val="none"/>
        </w:rPr>
        <w:t>评标委员会已经出具评标报告并且离开评标现场的；</w:t>
      </w:r>
    </w:p>
    <w:p>
      <w:pPr>
        <w:pStyle w:val="38"/>
        <w:spacing w:line="520" w:lineRule="exact"/>
        <w:ind w:firstLine="480"/>
        <w:rPr>
          <w:color w:val="auto"/>
          <w:highlight w:val="none"/>
        </w:rPr>
      </w:pPr>
      <w:r>
        <w:rPr>
          <w:rFonts w:hint="eastAsia"/>
          <w:color w:val="auto"/>
          <w:highlight w:val="none"/>
        </w:rPr>
        <w:t>采购代理机构现场复核时，复核工作人员数量不足的；</w:t>
      </w:r>
    </w:p>
    <w:p>
      <w:pPr>
        <w:pStyle w:val="38"/>
        <w:spacing w:line="520" w:lineRule="exact"/>
        <w:ind w:firstLine="480"/>
        <w:rPr>
          <w:color w:val="auto"/>
          <w:highlight w:val="none"/>
        </w:rPr>
      </w:pPr>
      <w:r>
        <w:rPr>
          <w:rFonts w:hint="eastAsia"/>
          <w:color w:val="auto"/>
          <w:highlight w:val="none"/>
        </w:rPr>
        <w:t>采购代理机构现场复核时，没有采购监督人员现场监督的；</w:t>
      </w:r>
    </w:p>
    <w:p>
      <w:pPr>
        <w:pStyle w:val="38"/>
        <w:spacing w:line="520" w:lineRule="exact"/>
        <w:ind w:firstLine="480"/>
        <w:rPr>
          <w:color w:val="auto"/>
          <w:highlight w:val="none"/>
        </w:rPr>
      </w:pPr>
      <w:r>
        <w:rPr>
          <w:rFonts w:hint="eastAsia"/>
          <w:color w:val="auto"/>
          <w:highlight w:val="none"/>
        </w:rPr>
        <w:t>采购代理机构现场复核内容超出规定范围的；</w:t>
      </w:r>
    </w:p>
    <w:p>
      <w:pPr>
        <w:pStyle w:val="38"/>
        <w:spacing w:line="520" w:lineRule="exact"/>
        <w:ind w:firstLine="480"/>
        <w:rPr>
          <w:color w:val="auto"/>
          <w:highlight w:val="none"/>
        </w:rPr>
      </w:pPr>
      <w:r>
        <w:rPr>
          <w:rFonts w:hint="eastAsia"/>
          <w:color w:val="auto"/>
          <w:highlight w:val="none"/>
        </w:rPr>
        <w:t>采购代理机构未提供书面建议的。</w:t>
      </w:r>
    </w:p>
    <w:p>
      <w:pPr>
        <w:pStyle w:val="36"/>
        <w:numPr>
          <w:ilvl w:val="1"/>
          <w:numId w:val="15"/>
        </w:numPr>
        <w:spacing w:line="520" w:lineRule="exact"/>
        <w:ind w:firstLine="482"/>
        <w:rPr>
          <w:color w:val="auto"/>
          <w:highlight w:val="none"/>
        </w:rPr>
      </w:pPr>
      <w:bookmarkStart w:id="1283" w:name="_Toc31256"/>
      <w:bookmarkStart w:id="1284" w:name="_Toc17203"/>
      <w:bookmarkStart w:id="1285" w:name="_Toc9013"/>
      <w:r>
        <w:rPr>
          <w:rFonts w:hint="eastAsia"/>
          <w:color w:val="auto"/>
          <w:highlight w:val="none"/>
        </w:rPr>
        <w:t>推荐中标候选供应商</w:t>
      </w:r>
      <w:bookmarkEnd w:id="1283"/>
      <w:bookmarkEnd w:id="1284"/>
      <w:bookmarkEnd w:id="1285"/>
    </w:p>
    <w:p>
      <w:pPr>
        <w:pStyle w:val="48"/>
        <w:spacing w:line="520" w:lineRule="exact"/>
        <w:rPr>
          <w:color w:val="auto"/>
          <w:highlight w:val="none"/>
        </w:rPr>
      </w:pPr>
      <w:r>
        <w:rPr>
          <w:rFonts w:hint="eastAsia"/>
          <w:color w:val="auto"/>
          <w:highlight w:val="none"/>
        </w:rPr>
        <w:t>中标候选供应商数量应当根据招标文件的规定确定，但必须按顺序排列中标候选供应商。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报价相同且满足招标文件全部实质性要求且按照评审因素的量化指标评审得分也相同，由采购人自主采取公平、择优的方式选择中标候选供应商。</w:t>
      </w:r>
    </w:p>
    <w:p>
      <w:pPr>
        <w:pStyle w:val="48"/>
        <w:spacing w:line="520" w:lineRule="exact"/>
        <w:rPr>
          <w:color w:val="auto"/>
          <w:highlight w:val="none"/>
        </w:rPr>
      </w:pPr>
      <w:r>
        <w:rPr>
          <w:rFonts w:hint="eastAsia"/>
          <w:color w:val="auto"/>
          <w:highlight w:val="none"/>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不予认可。</w:t>
      </w:r>
    </w:p>
    <w:p>
      <w:pPr>
        <w:pStyle w:val="36"/>
        <w:numPr>
          <w:ilvl w:val="1"/>
          <w:numId w:val="15"/>
        </w:numPr>
        <w:spacing w:line="520" w:lineRule="exact"/>
        <w:ind w:firstLine="482"/>
        <w:rPr>
          <w:color w:val="auto"/>
          <w:highlight w:val="none"/>
        </w:rPr>
      </w:pPr>
      <w:bookmarkStart w:id="1286" w:name="_Toc19311"/>
      <w:bookmarkStart w:id="1287" w:name="_Toc7685"/>
      <w:bookmarkStart w:id="1288" w:name="_Toc26035"/>
      <w:r>
        <w:rPr>
          <w:rFonts w:hint="eastAsia"/>
          <w:color w:val="auto"/>
          <w:highlight w:val="none"/>
        </w:rPr>
        <w:t>出具评标报告</w:t>
      </w:r>
      <w:bookmarkEnd w:id="1286"/>
      <w:bookmarkEnd w:id="1287"/>
      <w:bookmarkEnd w:id="1288"/>
    </w:p>
    <w:p>
      <w:pPr>
        <w:pStyle w:val="48"/>
        <w:spacing w:line="520" w:lineRule="exact"/>
        <w:rPr>
          <w:color w:val="auto"/>
          <w:highlight w:val="none"/>
        </w:rPr>
      </w:pPr>
      <w:r>
        <w:rPr>
          <w:rFonts w:hint="eastAsia"/>
          <w:color w:val="auto"/>
          <w:highlight w:val="none"/>
        </w:rPr>
        <w:t>评标委员会推荐中标候选供应商后，应当向招标采购单位出具评标报告。评标报告应当包括下列内容：</w:t>
      </w:r>
    </w:p>
    <w:p>
      <w:pPr>
        <w:pStyle w:val="34"/>
        <w:numPr>
          <w:ilvl w:val="1"/>
          <w:numId w:val="39"/>
        </w:numPr>
        <w:spacing w:line="520" w:lineRule="exact"/>
        <w:ind w:firstLine="480"/>
        <w:rPr>
          <w:color w:val="auto"/>
          <w:highlight w:val="none"/>
        </w:rPr>
      </w:pPr>
      <w:r>
        <w:rPr>
          <w:rFonts w:hint="eastAsia"/>
          <w:color w:val="auto"/>
          <w:highlight w:val="none"/>
        </w:rPr>
        <w:t>招标公告刊登的媒体名称、开标日期和地点；</w:t>
      </w:r>
    </w:p>
    <w:p>
      <w:pPr>
        <w:pStyle w:val="34"/>
        <w:numPr>
          <w:ilvl w:val="1"/>
          <w:numId w:val="39"/>
        </w:numPr>
        <w:spacing w:line="520" w:lineRule="exact"/>
        <w:ind w:firstLine="480"/>
        <w:rPr>
          <w:color w:val="auto"/>
          <w:highlight w:val="none"/>
        </w:rPr>
      </w:pPr>
      <w:r>
        <w:rPr>
          <w:rFonts w:hint="eastAsia"/>
          <w:color w:val="auto"/>
          <w:highlight w:val="none"/>
        </w:rPr>
        <w:t>投标人名单和评标委员会成员名单；</w:t>
      </w:r>
    </w:p>
    <w:p>
      <w:pPr>
        <w:pStyle w:val="34"/>
        <w:numPr>
          <w:ilvl w:val="1"/>
          <w:numId w:val="39"/>
        </w:numPr>
        <w:spacing w:line="520" w:lineRule="exact"/>
        <w:ind w:firstLine="480"/>
        <w:rPr>
          <w:color w:val="auto"/>
          <w:highlight w:val="none"/>
        </w:rPr>
      </w:pPr>
      <w:r>
        <w:rPr>
          <w:rFonts w:hint="eastAsia"/>
          <w:color w:val="auto"/>
          <w:highlight w:val="none"/>
        </w:rPr>
        <w:t>评标方法和标准；</w:t>
      </w:r>
    </w:p>
    <w:p>
      <w:pPr>
        <w:pStyle w:val="34"/>
        <w:numPr>
          <w:ilvl w:val="1"/>
          <w:numId w:val="39"/>
        </w:numPr>
        <w:spacing w:line="520" w:lineRule="exact"/>
        <w:ind w:firstLine="480"/>
        <w:rPr>
          <w:color w:val="auto"/>
          <w:highlight w:val="none"/>
        </w:rPr>
      </w:pPr>
      <w:r>
        <w:rPr>
          <w:rFonts w:hint="eastAsia"/>
          <w:color w:val="auto"/>
          <w:highlight w:val="none"/>
        </w:rPr>
        <w:t>开标记录和评标情况及说明，包括无效投标人名单及原因；</w:t>
      </w:r>
    </w:p>
    <w:p>
      <w:pPr>
        <w:pStyle w:val="34"/>
        <w:numPr>
          <w:ilvl w:val="1"/>
          <w:numId w:val="39"/>
        </w:numPr>
        <w:spacing w:line="520" w:lineRule="exact"/>
        <w:ind w:firstLine="480"/>
        <w:rPr>
          <w:color w:val="auto"/>
          <w:highlight w:val="none"/>
        </w:rPr>
      </w:pPr>
      <w:r>
        <w:rPr>
          <w:rFonts w:hint="eastAsia"/>
          <w:color w:val="auto"/>
          <w:highlight w:val="none"/>
        </w:rPr>
        <w:t>评标结果，确定的中标候选人名单或者经采购人委托直接确定的中标人；</w:t>
      </w:r>
    </w:p>
    <w:p>
      <w:pPr>
        <w:pStyle w:val="34"/>
        <w:numPr>
          <w:ilvl w:val="1"/>
          <w:numId w:val="39"/>
        </w:numPr>
        <w:spacing w:line="520" w:lineRule="exact"/>
        <w:ind w:firstLine="480"/>
        <w:rPr>
          <w:color w:val="auto"/>
          <w:highlight w:val="none"/>
        </w:rPr>
      </w:pPr>
      <w:r>
        <w:rPr>
          <w:rFonts w:hint="eastAsia"/>
          <w:color w:val="auto"/>
          <w:highlight w:val="none"/>
        </w:rPr>
        <w:t>其他需要说明的情况，包括评标过程中投标人根据评标委员会要求进行的澄清、说明或者补正，评标委员会成员的更换等。</w:t>
      </w:r>
    </w:p>
    <w:p>
      <w:pPr>
        <w:pStyle w:val="49"/>
        <w:spacing w:line="520" w:lineRule="exact"/>
        <w:ind w:firstLine="482"/>
        <w:rPr>
          <w:color w:val="auto"/>
          <w:highlight w:val="none"/>
        </w:rPr>
      </w:pPr>
      <w:r>
        <w:rPr>
          <w:rFonts w:hint="eastAsia"/>
          <w:color w:val="auto"/>
          <w:highlight w:val="none"/>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pStyle w:val="36"/>
        <w:numPr>
          <w:ilvl w:val="1"/>
          <w:numId w:val="15"/>
        </w:numPr>
        <w:spacing w:line="520" w:lineRule="exact"/>
        <w:ind w:firstLine="482"/>
        <w:rPr>
          <w:color w:val="auto"/>
          <w:highlight w:val="none"/>
        </w:rPr>
      </w:pPr>
      <w:bookmarkStart w:id="1289" w:name="_Toc653"/>
      <w:bookmarkStart w:id="1290" w:name="_Toc17073"/>
      <w:bookmarkStart w:id="1291" w:name="_Toc11762"/>
      <w:r>
        <w:rPr>
          <w:rFonts w:hint="eastAsia"/>
          <w:color w:val="auto"/>
          <w:highlight w:val="none"/>
        </w:rPr>
        <w:t>废标</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277"/>
      <w:bookmarkEnd w:id="1278"/>
      <w:bookmarkEnd w:id="1279"/>
      <w:bookmarkEnd w:id="1280"/>
      <w:bookmarkEnd w:id="1289"/>
      <w:bookmarkEnd w:id="1290"/>
      <w:bookmarkEnd w:id="1291"/>
    </w:p>
    <w:p>
      <w:pPr>
        <w:pStyle w:val="48"/>
        <w:spacing w:line="520" w:lineRule="exact"/>
        <w:rPr>
          <w:color w:val="auto"/>
          <w:highlight w:val="none"/>
        </w:rPr>
      </w:pPr>
      <w:r>
        <w:rPr>
          <w:rFonts w:hint="eastAsia"/>
          <w:color w:val="auto"/>
          <w:highlight w:val="none"/>
        </w:rPr>
        <w:t>本次</w:t>
      </w:r>
      <w:r>
        <w:rPr>
          <w:rFonts w:hint="eastAsia"/>
          <w:color w:val="auto"/>
          <w:highlight w:val="none"/>
          <w:lang w:eastAsia="zh-CN"/>
        </w:rPr>
        <w:t>采购</w:t>
      </w:r>
      <w:r>
        <w:rPr>
          <w:rFonts w:hint="eastAsia"/>
          <w:color w:val="auto"/>
          <w:highlight w:val="none"/>
        </w:rPr>
        <w:t>活动中，出现下列情形之一的，予以废标：</w:t>
      </w:r>
    </w:p>
    <w:p>
      <w:pPr>
        <w:pStyle w:val="37"/>
        <w:spacing w:line="520" w:lineRule="exact"/>
        <w:ind w:firstLine="480"/>
        <w:rPr>
          <w:color w:val="auto"/>
          <w:highlight w:val="none"/>
        </w:rPr>
      </w:pPr>
      <w:r>
        <w:rPr>
          <w:rFonts w:hint="eastAsia"/>
          <w:color w:val="auto"/>
          <w:highlight w:val="none"/>
        </w:rPr>
        <w:t>符合专业条件的供应商或者对招标文件作实质响应的供应商不足三家的；</w:t>
      </w:r>
    </w:p>
    <w:p>
      <w:pPr>
        <w:pStyle w:val="37"/>
        <w:spacing w:line="520" w:lineRule="exact"/>
        <w:ind w:firstLine="480"/>
        <w:rPr>
          <w:color w:val="auto"/>
          <w:highlight w:val="none"/>
        </w:rPr>
      </w:pPr>
      <w:r>
        <w:rPr>
          <w:rFonts w:hint="eastAsia"/>
          <w:color w:val="auto"/>
          <w:highlight w:val="none"/>
        </w:rPr>
        <w:t>出现影响采购公正的违法、违规行为的；</w:t>
      </w:r>
    </w:p>
    <w:p>
      <w:pPr>
        <w:pStyle w:val="37"/>
        <w:spacing w:line="520" w:lineRule="exact"/>
        <w:ind w:firstLine="480"/>
        <w:rPr>
          <w:color w:val="auto"/>
          <w:highlight w:val="none"/>
        </w:rPr>
      </w:pPr>
      <w:r>
        <w:rPr>
          <w:rFonts w:hint="eastAsia"/>
          <w:color w:val="auto"/>
          <w:highlight w:val="none"/>
        </w:rPr>
        <w:t>投标人的报价均超过了单价最高限价，采购人不能支付的；</w:t>
      </w:r>
    </w:p>
    <w:p>
      <w:pPr>
        <w:pStyle w:val="37"/>
        <w:spacing w:line="520" w:lineRule="exact"/>
        <w:ind w:firstLine="480"/>
        <w:rPr>
          <w:color w:val="auto"/>
          <w:highlight w:val="none"/>
        </w:rPr>
      </w:pPr>
      <w:r>
        <w:rPr>
          <w:rFonts w:hint="eastAsia"/>
          <w:color w:val="auto"/>
          <w:highlight w:val="none"/>
        </w:rPr>
        <w:t>因重大变故，采购任务取消的。</w:t>
      </w:r>
    </w:p>
    <w:p>
      <w:pPr>
        <w:pStyle w:val="48"/>
        <w:spacing w:line="520" w:lineRule="exact"/>
        <w:rPr>
          <w:color w:val="auto"/>
          <w:highlight w:val="none"/>
        </w:rPr>
      </w:pPr>
      <w:r>
        <w:rPr>
          <w:rFonts w:hint="eastAsia"/>
          <w:color w:val="auto"/>
          <w:highlight w:val="none"/>
        </w:rPr>
        <w:t>废标后，采购代理机构应在</w:t>
      </w:r>
      <w:r>
        <w:rPr>
          <w:rFonts w:hint="eastAsia"/>
          <w:color w:val="auto"/>
          <w:highlight w:val="none"/>
          <w:lang w:eastAsia="zh-CN"/>
        </w:rPr>
        <w:t>“中国招标投标公共服务平台”</w:t>
      </w:r>
      <w:r>
        <w:rPr>
          <w:rFonts w:hint="eastAsia"/>
          <w:color w:val="auto"/>
          <w:highlight w:val="none"/>
        </w:rPr>
        <w:t>公告，并公告废标的理由。</w:t>
      </w:r>
    </w:p>
    <w:p>
      <w:pPr>
        <w:pStyle w:val="36"/>
        <w:numPr>
          <w:ilvl w:val="1"/>
          <w:numId w:val="15"/>
        </w:numPr>
        <w:spacing w:line="520" w:lineRule="exact"/>
        <w:ind w:firstLine="482"/>
        <w:rPr>
          <w:color w:val="auto"/>
          <w:highlight w:val="none"/>
        </w:rPr>
      </w:pPr>
      <w:bookmarkStart w:id="1292" w:name="_Toc768"/>
      <w:bookmarkStart w:id="1293" w:name="_Toc327196344"/>
      <w:bookmarkStart w:id="1294" w:name="_Toc7554"/>
      <w:bookmarkStart w:id="1295" w:name="_Toc24655"/>
      <w:bookmarkStart w:id="1296" w:name="_Toc32542"/>
      <w:bookmarkStart w:id="1297" w:name="_Toc2453"/>
      <w:bookmarkStart w:id="1298" w:name="_Toc4794"/>
      <w:bookmarkStart w:id="1299" w:name="_Toc319440193"/>
      <w:bookmarkStart w:id="1300" w:name="_Toc10846"/>
      <w:bookmarkStart w:id="1301" w:name="_Toc307564900"/>
      <w:bookmarkStart w:id="1302" w:name="_Toc21352"/>
      <w:bookmarkStart w:id="1303" w:name="_Toc309897567"/>
      <w:bookmarkStart w:id="1304" w:name="_Toc7121"/>
      <w:bookmarkStart w:id="1305" w:name="_Toc319439949"/>
      <w:bookmarkStart w:id="1306" w:name="_Toc31281"/>
      <w:bookmarkStart w:id="1307" w:name="_Toc25875"/>
      <w:bookmarkStart w:id="1308" w:name="_Toc308084649"/>
      <w:bookmarkStart w:id="1309" w:name="_Toc307501158"/>
      <w:bookmarkStart w:id="1310" w:name="_Toc4475"/>
      <w:bookmarkStart w:id="1311" w:name="_Toc13169"/>
      <w:bookmarkStart w:id="1312" w:name="_Toc308188202"/>
      <w:r>
        <w:rPr>
          <w:rFonts w:hint="eastAsia"/>
          <w:color w:val="auto"/>
          <w:highlight w:val="none"/>
        </w:rPr>
        <w:t>定标</w:t>
      </w:r>
      <w:bookmarkEnd w:id="111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Start w:id="1313" w:name="_Toc217446061"/>
    </w:p>
    <w:p>
      <w:pPr>
        <w:pStyle w:val="34"/>
        <w:numPr>
          <w:ilvl w:val="1"/>
          <w:numId w:val="40"/>
        </w:numPr>
        <w:spacing w:line="520" w:lineRule="exact"/>
        <w:ind w:firstLine="480"/>
        <w:rPr>
          <w:color w:val="auto"/>
          <w:highlight w:val="none"/>
        </w:rPr>
      </w:pPr>
      <w:r>
        <w:rPr>
          <w:rFonts w:hint="eastAsia"/>
          <w:color w:val="auto"/>
          <w:highlight w:val="none"/>
        </w:rPr>
        <w:t>定标原则</w:t>
      </w:r>
      <w:bookmarkEnd w:id="1313"/>
      <w:r>
        <w:rPr>
          <w:rFonts w:hint="eastAsia"/>
          <w:color w:val="auto"/>
          <w:highlight w:val="none"/>
        </w:rPr>
        <w:t>：本项目根据评委会推荐的中标候选人名单，按顺序确定中标人。</w:t>
      </w:r>
    </w:p>
    <w:p>
      <w:pPr>
        <w:pStyle w:val="34"/>
        <w:numPr>
          <w:ilvl w:val="1"/>
          <w:numId w:val="40"/>
        </w:numPr>
        <w:spacing w:line="520" w:lineRule="exact"/>
        <w:ind w:firstLine="480"/>
        <w:rPr>
          <w:color w:val="auto"/>
          <w:highlight w:val="none"/>
        </w:rPr>
      </w:pPr>
      <w:bookmarkStart w:id="1314" w:name="_Toc217446062"/>
      <w:r>
        <w:rPr>
          <w:rFonts w:hint="eastAsia"/>
          <w:color w:val="auto"/>
          <w:highlight w:val="none"/>
        </w:rPr>
        <w:t>定标程序</w:t>
      </w:r>
      <w:bookmarkEnd w:id="1314"/>
    </w:p>
    <w:p>
      <w:pPr>
        <w:pStyle w:val="37"/>
        <w:spacing w:line="520" w:lineRule="exact"/>
        <w:ind w:firstLine="480"/>
        <w:rPr>
          <w:color w:val="auto"/>
          <w:highlight w:val="none"/>
        </w:rPr>
      </w:pPr>
      <w:r>
        <w:rPr>
          <w:rFonts w:hint="eastAsia"/>
          <w:color w:val="auto"/>
          <w:highlight w:val="none"/>
        </w:rPr>
        <w:t>评标委员会根据全体评标成员签字的原始评标记录和评标结果编写评标报告，推荐不少于三名中标候选人，并按照综合得分高低标明排列顺序。</w:t>
      </w:r>
    </w:p>
    <w:p>
      <w:pPr>
        <w:pStyle w:val="37"/>
        <w:spacing w:line="520" w:lineRule="exact"/>
        <w:ind w:firstLine="480"/>
        <w:rPr>
          <w:color w:val="auto"/>
          <w:highlight w:val="none"/>
        </w:rPr>
      </w:pPr>
      <w:r>
        <w:rPr>
          <w:rFonts w:hint="eastAsia"/>
          <w:color w:val="auto"/>
          <w:highlight w:val="none"/>
        </w:rPr>
        <w:t>采购代理机构在评标结束后2个工作日内将评标报告送采购人。</w:t>
      </w:r>
    </w:p>
    <w:p>
      <w:pPr>
        <w:pStyle w:val="37"/>
        <w:spacing w:line="520" w:lineRule="exact"/>
        <w:ind w:firstLine="480"/>
        <w:rPr>
          <w:color w:val="auto"/>
          <w:highlight w:val="none"/>
        </w:rPr>
      </w:pPr>
      <w:r>
        <w:rPr>
          <w:rFonts w:hint="eastAsia"/>
          <w:color w:val="auto"/>
          <w:highlight w:val="none"/>
        </w:rPr>
        <w:t>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如果中标候选人及其现任法定代表人、主要负责人存在行贿犯罪记录，采购人将不确定其为中标人。采购人在确认中标供应商前，应到中国裁判文书网(https：//wenshu.court.gov.cn)查询中标候选供应商及其现任法定代表人、主要负责人是否存在行贿犯罪记录。</w:t>
      </w:r>
    </w:p>
    <w:p>
      <w:pPr>
        <w:pStyle w:val="48"/>
        <w:spacing w:line="520" w:lineRule="exact"/>
        <w:rPr>
          <w:color w:val="auto"/>
          <w:highlight w:val="none"/>
        </w:rPr>
      </w:pPr>
      <w:r>
        <w:rPr>
          <w:rFonts w:hint="eastAsia"/>
          <w:color w:val="auto"/>
          <w:highlight w:val="none"/>
        </w:rPr>
        <w:t>采购人在收到评标报告5个工作日内未按评标报告推荐的中标候选人顺序确定中标人，又不能说明合法理由的，视同按评标报告推荐的顺序确定排名第一的中标候选人为中标人。</w:t>
      </w:r>
    </w:p>
    <w:p>
      <w:pPr>
        <w:pStyle w:val="37"/>
        <w:spacing w:line="520" w:lineRule="exact"/>
        <w:ind w:firstLine="480"/>
        <w:rPr>
          <w:color w:val="auto"/>
          <w:highlight w:val="none"/>
        </w:rPr>
      </w:pPr>
      <w:r>
        <w:rPr>
          <w:rFonts w:hint="eastAsia"/>
          <w:color w:val="auto"/>
          <w:highlight w:val="none"/>
        </w:rPr>
        <w:t>评标结果按评审后得分由高到低顺序排列；得分相同的，按投标报价由低到高顺序排列；得分且投标报价相同的并列，投标文件满足招标文件全部实质性要求且按照评审因素的量化指标评审得分最高的供应商为中标供应商；报价相同且满足招标文件全部实质性要求且按照评审因素的量化指标评审得分也相同，由采购人自主采取公平、择优的方式选择中标供应商。</w:t>
      </w:r>
    </w:p>
    <w:p>
      <w:pPr>
        <w:pStyle w:val="37"/>
        <w:spacing w:line="520" w:lineRule="exact"/>
        <w:ind w:firstLine="480"/>
        <w:rPr>
          <w:color w:val="auto"/>
          <w:highlight w:val="none"/>
        </w:rPr>
      </w:pPr>
      <w:r>
        <w:rPr>
          <w:rFonts w:hint="eastAsia"/>
          <w:color w:val="auto"/>
          <w:highlight w:val="none"/>
        </w:rPr>
        <w:t>采购代理机构在中标人确定后2个工作日内，在</w:t>
      </w:r>
      <w:r>
        <w:rPr>
          <w:rFonts w:hint="eastAsia"/>
          <w:color w:val="auto"/>
          <w:highlight w:val="none"/>
          <w:lang w:eastAsia="zh-CN"/>
        </w:rPr>
        <w:t>“中国招标投标公共服务平台”</w:t>
      </w:r>
      <w:r>
        <w:rPr>
          <w:rFonts w:hint="eastAsia"/>
          <w:color w:val="auto"/>
          <w:highlight w:val="none"/>
        </w:rPr>
        <w:t>发布中标公告，同时采购代理机构将中标通知书快递至中标人。</w:t>
      </w:r>
    </w:p>
    <w:p>
      <w:pPr>
        <w:pStyle w:val="37"/>
        <w:spacing w:line="520" w:lineRule="exact"/>
        <w:ind w:firstLine="480"/>
        <w:rPr>
          <w:color w:val="auto"/>
          <w:highlight w:val="none"/>
        </w:rPr>
      </w:pPr>
      <w:r>
        <w:rPr>
          <w:rFonts w:hint="eastAsia"/>
          <w:color w:val="auto"/>
          <w:highlight w:val="none"/>
        </w:rPr>
        <w:t>招标采购单位不退回投标人投标文件和其他投标资料。</w:t>
      </w:r>
    </w:p>
    <w:bookmarkEnd w:id="1112"/>
    <w:p>
      <w:pPr>
        <w:rPr>
          <w:color w:val="auto"/>
          <w:highlight w:val="none"/>
        </w:rPr>
      </w:pPr>
      <w:bookmarkStart w:id="1315" w:name="_Toc28956"/>
      <w:r>
        <w:rPr>
          <w:rFonts w:hint="eastAsia"/>
          <w:color w:val="auto"/>
          <w:highlight w:val="none"/>
        </w:rPr>
        <w:br w:type="page"/>
      </w:r>
    </w:p>
    <w:bookmarkEnd w:id="1315"/>
    <w:p>
      <w:pPr>
        <w:pStyle w:val="50"/>
        <w:numPr>
          <w:ilvl w:val="0"/>
          <w:numId w:val="15"/>
        </w:numPr>
        <w:spacing w:before="120" w:after="120"/>
        <w:rPr>
          <w:color w:val="auto"/>
          <w:highlight w:val="none"/>
        </w:rPr>
      </w:pPr>
      <w:bookmarkStart w:id="1316" w:name="_Toc12152"/>
      <w:r>
        <w:rPr>
          <w:rFonts w:hint="eastAsia"/>
          <w:color w:val="auto"/>
          <w:highlight w:val="none"/>
          <w:lang w:eastAsia="zh-CN"/>
        </w:rPr>
        <w:t>采购合同</w:t>
      </w:r>
      <w:bookmarkEnd w:id="1316"/>
    </w:p>
    <w:p>
      <w:pPr>
        <w:pStyle w:val="50"/>
        <w:numPr>
          <w:ilvl w:val="0"/>
          <w:numId w:val="0"/>
        </w:numPr>
        <w:adjustRightInd/>
        <w:snapToGrid/>
        <w:spacing w:beforeLines="0" w:afterLines="0"/>
        <w:jc w:val="both"/>
        <w:outlineLvl w:val="9"/>
        <w:rPr>
          <w:color w:val="auto"/>
          <w:highlight w:val="none"/>
        </w:rPr>
      </w:pPr>
    </w:p>
    <w:p>
      <w:pPr>
        <w:pStyle w:val="12"/>
        <w:keepNext w:val="0"/>
        <w:keepLines w:val="0"/>
        <w:pageBreakBefore w:val="0"/>
        <w:widowControl w:val="0"/>
        <w:kinsoku/>
        <w:overflowPunct/>
        <w:bidi w:val="0"/>
        <w:adjustRightInd w:val="0"/>
        <w:snapToGrid w:val="0"/>
        <w:spacing w:after="0" w:line="520" w:lineRule="exact"/>
        <w:ind w:right="0"/>
        <w:jc w:val="center"/>
        <w:textAlignment w:val="auto"/>
        <w:outlineLvl w:val="9"/>
        <w:rPr>
          <w:rFonts w:hint="eastAsia" w:ascii="宋体" w:hAnsi="宋体" w:eastAsia="宋体" w:cs="宋体"/>
          <w:b/>
          <w:bCs/>
          <w:color w:val="auto"/>
          <w:sz w:val="24"/>
          <w:szCs w:val="24"/>
          <w:highlight w:val="none"/>
        </w:rPr>
      </w:pPr>
      <w:bookmarkStart w:id="1317" w:name="_Toc21635"/>
      <w:bookmarkStart w:id="1318" w:name="_Toc4724"/>
      <w:r>
        <w:rPr>
          <w:rFonts w:hint="eastAsia" w:ascii="宋体" w:hAnsi="宋体" w:eastAsia="宋体" w:cs="宋体"/>
          <w:b/>
          <w:bCs/>
          <w:color w:val="auto"/>
          <w:sz w:val="24"/>
          <w:szCs w:val="24"/>
          <w:highlight w:val="none"/>
        </w:rPr>
        <w:t>成都市技师学院</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成都工贸职业技术学院</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2023年</w:t>
      </w:r>
      <w:r>
        <w:rPr>
          <w:rFonts w:hint="eastAsia" w:ascii="宋体" w:hAnsi="宋体" w:eastAsia="宋体" w:cs="宋体"/>
          <w:b/>
          <w:bCs/>
          <w:color w:val="auto"/>
          <w:sz w:val="24"/>
          <w:szCs w:val="24"/>
          <w:highlight w:val="none"/>
        </w:rPr>
        <w:t>学生工装招标项目</w:t>
      </w:r>
    </w:p>
    <w:p>
      <w:pPr>
        <w:pStyle w:val="12"/>
        <w:keepNext w:val="0"/>
        <w:keepLines w:val="0"/>
        <w:pageBreakBefore w:val="0"/>
        <w:widowControl w:val="0"/>
        <w:kinsoku/>
        <w:overflowPunct/>
        <w:bidi w:val="0"/>
        <w:adjustRightInd w:val="0"/>
        <w:snapToGrid w:val="0"/>
        <w:spacing w:after="0" w:line="520" w:lineRule="exact"/>
        <w:ind w:right="0"/>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合同文本主要条款</w:t>
      </w:r>
    </w:p>
    <w:p>
      <w:pPr>
        <w:pStyle w:val="68"/>
        <w:keepNext w:val="0"/>
        <w:keepLines w:val="0"/>
        <w:pageBreakBefore w:val="0"/>
        <w:widowControl w:val="0"/>
        <w:kinsoku/>
        <w:overflowPunct/>
        <w:bidi w:val="0"/>
        <w:adjustRightInd w:val="0"/>
        <w:snapToGrid w:val="0"/>
        <w:spacing w:line="520" w:lineRule="exact"/>
        <w:ind w:left="0" w:leftChars="0" w:right="0"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(重要说明：采购人、投标人在签订正式合同前应依据本项目的招标文件、投标文件、项目的澄清文件等对以下合同内容进行修正和完善)</w:t>
      </w:r>
    </w:p>
    <w:p>
      <w:pPr>
        <w:pStyle w:val="68"/>
        <w:keepNext w:val="0"/>
        <w:keepLines w:val="0"/>
        <w:pageBreakBefore w:val="0"/>
        <w:widowControl w:val="0"/>
        <w:kinsoku/>
        <w:overflowPunct/>
        <w:bidi w:val="0"/>
        <w:adjustRightInd w:val="0"/>
        <w:snapToGrid w:val="0"/>
        <w:spacing w:line="520" w:lineRule="exact"/>
        <w:ind w:left="0" w:leftChars="0" w:right="0" w:firstLine="482" w:firstLineChars="200"/>
        <w:textAlignment w:val="auto"/>
        <w:outlineLvl w:val="9"/>
        <w:rPr>
          <w:rFonts w:hint="eastAsia" w:ascii="宋体" w:hAnsi="宋体" w:eastAsia="宋体" w:cs="宋体"/>
          <w:b/>
          <w:bCs/>
          <w:color w:val="auto"/>
          <w:sz w:val="24"/>
          <w:szCs w:val="24"/>
          <w:highlight w:val="none"/>
        </w:rPr>
      </w:pPr>
    </w:p>
    <w:p>
      <w:pPr>
        <w:pStyle w:val="44"/>
        <w:keepNext w:val="0"/>
        <w:keepLines w:val="0"/>
        <w:pageBreakBefore w:val="0"/>
        <w:widowControl w:val="0"/>
        <w:kinsoku/>
        <w:overflowPunct/>
        <w:bidi w:val="0"/>
        <w:adjustRightInd w:val="0"/>
        <w:snapToGrid w:val="0"/>
        <w:spacing w:line="520" w:lineRule="exact"/>
        <w:ind w:left="0" w:leftChars="0" w:right="0" w:firstLine="480" w:firstLineChars="200"/>
        <w:textAlignment w:val="auto"/>
        <w:outlineLvl w:val="9"/>
        <w:rPr>
          <w:rFonts w:hint="eastAsia" w:ascii="宋体" w:hAnsi="宋体" w:eastAsia="宋体" w:cs="宋体"/>
          <w:snapToGrid/>
          <w:sz w:val="24"/>
          <w:szCs w:val="24"/>
        </w:rPr>
      </w:pPr>
      <w:r>
        <w:rPr>
          <w:rFonts w:hint="eastAsia" w:ascii="宋体" w:hAnsi="宋体" w:eastAsia="宋体" w:cs="宋体"/>
          <w:snapToGrid/>
          <w:sz w:val="24"/>
          <w:szCs w:val="24"/>
        </w:rPr>
        <w:t>合同编号：</w:t>
      </w:r>
    </w:p>
    <w:p>
      <w:pPr>
        <w:pStyle w:val="44"/>
        <w:keepNext w:val="0"/>
        <w:keepLines w:val="0"/>
        <w:pageBreakBefore w:val="0"/>
        <w:widowControl w:val="0"/>
        <w:kinsoku/>
        <w:overflowPunct/>
        <w:bidi w:val="0"/>
        <w:adjustRightInd w:val="0"/>
        <w:snapToGrid w:val="0"/>
        <w:spacing w:line="520" w:lineRule="exact"/>
        <w:ind w:left="0" w:leftChars="0" w:right="0" w:firstLine="480" w:firstLineChars="200"/>
        <w:textAlignment w:val="auto"/>
        <w:outlineLvl w:val="9"/>
        <w:rPr>
          <w:rFonts w:hint="eastAsia" w:ascii="宋体" w:hAnsi="宋体" w:eastAsia="宋体" w:cs="宋体"/>
          <w:snapToGrid/>
          <w:sz w:val="24"/>
          <w:szCs w:val="24"/>
        </w:rPr>
      </w:pPr>
      <w:r>
        <w:rPr>
          <w:rFonts w:hint="eastAsia" w:ascii="宋体" w:hAnsi="宋体" w:eastAsia="宋体" w:cs="宋体"/>
          <w:snapToGrid/>
          <w:sz w:val="24"/>
          <w:szCs w:val="24"/>
        </w:rPr>
        <w:t>签订地点：</w:t>
      </w:r>
    </w:p>
    <w:p>
      <w:pPr>
        <w:pStyle w:val="44"/>
        <w:keepNext w:val="0"/>
        <w:keepLines w:val="0"/>
        <w:pageBreakBefore w:val="0"/>
        <w:widowControl w:val="0"/>
        <w:kinsoku/>
        <w:overflowPunct/>
        <w:bidi w:val="0"/>
        <w:adjustRightInd w:val="0"/>
        <w:snapToGrid w:val="0"/>
        <w:spacing w:line="520" w:lineRule="exact"/>
        <w:ind w:left="0" w:leftChars="0" w:right="0" w:firstLine="480" w:firstLineChars="200"/>
        <w:textAlignment w:val="auto"/>
        <w:outlineLvl w:val="9"/>
        <w:rPr>
          <w:rFonts w:hint="eastAsia" w:ascii="宋体" w:hAnsi="宋体" w:eastAsia="宋体" w:cs="宋体"/>
          <w:snapToGrid/>
          <w:sz w:val="24"/>
          <w:szCs w:val="24"/>
        </w:rPr>
      </w:pPr>
      <w:r>
        <w:rPr>
          <w:rFonts w:hint="eastAsia" w:ascii="宋体" w:hAnsi="宋体" w:eastAsia="宋体" w:cs="宋体"/>
          <w:snapToGrid/>
          <w:sz w:val="24"/>
          <w:szCs w:val="24"/>
        </w:rPr>
        <w:t>签订时间：</w:t>
      </w:r>
    </w:p>
    <w:p>
      <w:pPr>
        <w:pStyle w:val="44"/>
        <w:keepNext w:val="0"/>
        <w:keepLines w:val="0"/>
        <w:pageBreakBefore w:val="0"/>
        <w:widowControl w:val="0"/>
        <w:kinsoku/>
        <w:overflowPunct/>
        <w:bidi w:val="0"/>
        <w:adjustRightInd w:val="0"/>
        <w:snapToGrid w:val="0"/>
        <w:spacing w:line="520" w:lineRule="exact"/>
        <w:ind w:left="0" w:leftChars="0" w:right="0" w:firstLine="480" w:firstLineChars="200"/>
        <w:textAlignment w:val="auto"/>
        <w:outlineLvl w:val="9"/>
        <w:rPr>
          <w:rFonts w:hint="eastAsia" w:ascii="宋体" w:hAnsi="宋体" w:eastAsia="宋体" w:cs="宋体"/>
          <w:snapToGrid/>
          <w:sz w:val="24"/>
          <w:szCs w:val="24"/>
        </w:rPr>
      </w:pPr>
      <w:r>
        <w:rPr>
          <w:rFonts w:hint="eastAsia" w:ascii="宋体" w:hAnsi="宋体" w:eastAsia="宋体" w:cs="宋体"/>
          <w:snapToGrid/>
          <w:sz w:val="24"/>
          <w:szCs w:val="24"/>
        </w:rPr>
        <w:t>甲方(采购人)：</w:t>
      </w:r>
    </w:p>
    <w:p>
      <w:pPr>
        <w:pStyle w:val="44"/>
        <w:keepNext w:val="0"/>
        <w:keepLines w:val="0"/>
        <w:pageBreakBefore w:val="0"/>
        <w:widowControl w:val="0"/>
        <w:kinsoku/>
        <w:overflowPunct/>
        <w:bidi w:val="0"/>
        <w:adjustRightInd w:val="0"/>
        <w:snapToGrid w:val="0"/>
        <w:spacing w:line="520" w:lineRule="exact"/>
        <w:ind w:left="0" w:leftChars="0" w:right="0" w:firstLine="480" w:firstLineChars="200"/>
        <w:textAlignment w:val="auto"/>
        <w:outlineLvl w:val="9"/>
        <w:rPr>
          <w:rFonts w:hint="eastAsia" w:ascii="宋体" w:hAnsi="宋体" w:eastAsia="宋体" w:cs="宋体"/>
          <w:snapToGrid/>
          <w:sz w:val="24"/>
          <w:szCs w:val="24"/>
        </w:rPr>
      </w:pPr>
      <w:r>
        <w:rPr>
          <w:rFonts w:hint="eastAsia" w:ascii="宋体" w:hAnsi="宋体" w:eastAsia="宋体" w:cs="宋体"/>
          <w:snapToGrid/>
          <w:sz w:val="24"/>
          <w:szCs w:val="24"/>
        </w:rPr>
        <w:t xml:space="preserve">乙方(投标人)：    </w:t>
      </w:r>
    </w:p>
    <w:p>
      <w:pPr>
        <w:keepNext w:val="0"/>
        <w:keepLines w:val="0"/>
        <w:pageBreakBefore w:val="0"/>
        <w:widowControl w:val="0"/>
        <w:kinsoku/>
        <w:overflowPunct/>
        <w:bidi w:val="0"/>
        <w:spacing w:line="520" w:lineRule="exact"/>
        <w:ind w:left="0" w:leftChars="0" w:right="0" w:firstLine="480" w:firstLineChars="200"/>
        <w:jc w:val="left"/>
        <w:textAlignment w:val="auto"/>
        <w:outlineLvl w:val="9"/>
        <w:rPr>
          <w:rFonts w:hint="eastAsia" w:ascii="宋体" w:hAnsi="宋体" w:eastAsia="宋体" w:cs="宋体"/>
          <w:b/>
          <w:bCs/>
          <w:sz w:val="24"/>
          <w:szCs w:val="24"/>
        </w:rPr>
      </w:pPr>
      <w:r>
        <w:rPr>
          <w:rFonts w:hint="eastAsia" w:ascii="宋体" w:hAnsi="宋体" w:eastAsia="宋体" w:cs="宋体"/>
          <w:sz w:val="24"/>
          <w:szCs w:val="24"/>
        </w:rPr>
        <w:t>依据《中华人民共和国民法典》以及成都市技师学院</w:t>
      </w:r>
      <w:r>
        <w:rPr>
          <w:rFonts w:hint="eastAsia" w:ascii="宋体" w:hAnsi="宋体" w:eastAsia="宋体" w:cs="宋体"/>
          <w:sz w:val="24"/>
          <w:szCs w:val="24"/>
          <w:lang w:eastAsia="zh-CN"/>
        </w:rPr>
        <w:t>(</w:t>
      </w:r>
      <w:r>
        <w:rPr>
          <w:rFonts w:hint="eastAsia" w:ascii="宋体" w:hAnsi="宋体" w:eastAsia="宋体" w:cs="宋体"/>
          <w:sz w:val="24"/>
          <w:szCs w:val="24"/>
        </w:rPr>
        <w:t>成都工贸职业技术学院</w:t>
      </w:r>
      <w:r>
        <w:rPr>
          <w:rFonts w:hint="eastAsia" w:ascii="宋体" w:hAnsi="宋体" w:eastAsia="宋体" w:cs="宋体"/>
          <w:sz w:val="24"/>
          <w:szCs w:val="24"/>
          <w:lang w:eastAsia="zh-CN"/>
        </w:rPr>
        <w:t>)</w:t>
      </w:r>
      <w:r>
        <w:rPr>
          <w:rFonts w:hint="eastAsia" w:ascii="宋体" w:hAnsi="宋体" w:eastAsia="宋体" w:cs="宋体"/>
          <w:sz w:val="24"/>
          <w:szCs w:val="24"/>
        </w:rPr>
        <w:t>学生工装采购项目</w:t>
      </w:r>
      <w:r>
        <w:rPr>
          <w:rFonts w:hint="eastAsia" w:ascii="宋体" w:hAnsi="宋体" w:eastAsia="宋体" w:cs="宋体"/>
          <w:sz w:val="24"/>
          <w:szCs w:val="24"/>
          <w:lang w:eastAsia="zh-CN"/>
        </w:rPr>
        <w:t>(</w:t>
      </w:r>
      <w:r>
        <w:rPr>
          <w:rFonts w:hint="eastAsia" w:ascii="宋体" w:hAnsi="宋体" w:eastAsia="宋体" w:cs="宋体"/>
          <w:sz w:val="24"/>
          <w:szCs w:val="24"/>
        </w:rPr>
        <w:t xml:space="preserve">项目编号 </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的《招标文件》，乙方的《投标文件》及《中标通知书》，甲、乙双方同意签订本合同，共同遵守如下条款：</w:t>
      </w:r>
    </w:p>
    <w:p>
      <w:pPr>
        <w:keepNext w:val="0"/>
        <w:keepLines w:val="0"/>
        <w:pageBreakBefore w:val="0"/>
        <w:widowControl w:val="0"/>
        <w:kinsoku/>
        <w:overflowPunct/>
        <w:bidi w:val="0"/>
        <w:spacing w:line="520" w:lineRule="exact"/>
        <w:ind w:left="0" w:leftChars="0" w:right="0" w:firstLine="482" w:firstLineChars="200"/>
        <w:textAlignment w:val="auto"/>
        <w:outlineLvl w:val="9"/>
        <w:rPr>
          <w:rFonts w:hint="eastAsia" w:ascii="宋体" w:hAnsi="宋体" w:eastAsia="宋体" w:cs="宋体"/>
          <w:bCs/>
          <w:color w:val="000000"/>
          <w:sz w:val="24"/>
          <w:szCs w:val="24"/>
        </w:rPr>
      </w:pPr>
      <w:r>
        <w:rPr>
          <w:rFonts w:hint="eastAsia" w:ascii="宋体" w:hAnsi="宋体" w:eastAsia="宋体" w:cs="宋体"/>
          <w:b/>
          <w:bCs/>
          <w:sz w:val="24"/>
          <w:szCs w:val="24"/>
        </w:rPr>
        <w:t>一、项目基本情况</w:t>
      </w:r>
      <w:r>
        <w:rPr>
          <w:rFonts w:hint="eastAsia" w:ascii="宋体" w:hAnsi="宋体" w:eastAsia="宋体" w:cs="宋体"/>
          <w:bCs/>
          <w:color w:val="000000"/>
          <w:sz w:val="24"/>
          <w:szCs w:val="24"/>
        </w:rPr>
        <w:t xml:space="preserve"> </w:t>
      </w:r>
    </w:p>
    <w:p>
      <w:pPr>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bCs/>
          <w:sz w:val="24"/>
          <w:szCs w:val="24"/>
        </w:rPr>
        <w:t>乙方为甲方</w:t>
      </w:r>
      <w:r>
        <w:rPr>
          <w:rFonts w:hint="eastAsia" w:ascii="宋体" w:hAnsi="宋体" w:eastAsia="宋体" w:cs="宋体"/>
          <w:color w:val="000000"/>
          <w:sz w:val="24"/>
          <w:szCs w:val="24"/>
        </w:rPr>
        <w:t>202</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级新生提供工装。涉及工装的有四个校区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总院、西校区、新都校区、成华校区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w:t>
      </w:r>
      <w:r>
        <w:rPr>
          <w:rFonts w:hint="eastAsia" w:cs="宋体"/>
          <w:color w:val="000000"/>
          <w:sz w:val="24"/>
          <w:szCs w:val="24"/>
          <w:lang w:val="en-US" w:eastAsia="zh-CN"/>
        </w:rPr>
        <w:t>甲方</w:t>
      </w:r>
      <w:r>
        <w:rPr>
          <w:rFonts w:hint="eastAsia" w:ascii="宋体" w:hAnsi="宋体" w:eastAsia="宋体" w:cs="宋体"/>
          <w:color w:val="000000"/>
          <w:sz w:val="24"/>
          <w:szCs w:val="24"/>
        </w:rPr>
        <w:t>计划招生为：4</w:t>
      </w:r>
      <w:r>
        <w:rPr>
          <w:rFonts w:hint="eastAsia" w:ascii="宋体" w:hAnsi="宋体" w:eastAsia="宋体" w:cs="宋体"/>
          <w:color w:val="000000"/>
          <w:sz w:val="24"/>
          <w:szCs w:val="24"/>
          <w:lang w:val="en-US" w:eastAsia="zh-CN"/>
        </w:rPr>
        <w:t>50</w:t>
      </w:r>
      <w:r>
        <w:rPr>
          <w:rFonts w:hint="eastAsia" w:ascii="宋体" w:hAnsi="宋体" w:eastAsia="宋体" w:cs="宋体"/>
          <w:color w:val="000000"/>
          <w:sz w:val="24"/>
          <w:szCs w:val="24"/>
        </w:rPr>
        <w:t>0人，其中中职1</w:t>
      </w:r>
      <w:r>
        <w:rPr>
          <w:rFonts w:hint="eastAsia" w:ascii="宋体" w:hAnsi="宋体" w:eastAsia="宋体" w:cs="宋体"/>
          <w:color w:val="000000"/>
          <w:sz w:val="24"/>
          <w:szCs w:val="24"/>
          <w:lang w:val="en-US" w:eastAsia="zh-CN"/>
        </w:rPr>
        <w:t>30</w:t>
      </w:r>
      <w:r>
        <w:rPr>
          <w:rFonts w:hint="eastAsia" w:ascii="宋体" w:hAnsi="宋体" w:eastAsia="宋体" w:cs="宋体"/>
          <w:color w:val="000000"/>
          <w:sz w:val="24"/>
          <w:szCs w:val="24"/>
        </w:rPr>
        <w:t>0人，高职</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32</w:t>
      </w:r>
      <w:r>
        <w:rPr>
          <w:rFonts w:hint="eastAsia" w:ascii="宋体" w:hAnsi="宋体" w:eastAsia="宋体" w:cs="宋体"/>
          <w:color w:val="000000"/>
          <w:sz w:val="24"/>
          <w:szCs w:val="24"/>
        </w:rPr>
        <w:t>00人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最终以实际招生为准</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w:t>
      </w:r>
    </w:p>
    <w:p>
      <w:pPr>
        <w:keepNext w:val="0"/>
        <w:keepLines w:val="0"/>
        <w:pageBreakBefore w:val="0"/>
        <w:widowControl w:val="0"/>
        <w:kinsoku/>
        <w:overflowPunct/>
        <w:bidi w:val="0"/>
        <w:adjustRightInd w:val="0"/>
        <w:snapToGrid w:val="0"/>
        <w:spacing w:line="520" w:lineRule="exact"/>
        <w:ind w:left="0" w:leftChars="0" w:right="0" w:firstLine="482" w:firstLineChars="200"/>
        <w:jc w:val="lef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二、合同标的</w:t>
      </w:r>
    </w:p>
    <w:p>
      <w:pPr>
        <w:keepNext w:val="0"/>
        <w:keepLines w:val="0"/>
        <w:pageBreakBefore w:val="0"/>
        <w:widowControl w:val="0"/>
        <w:kinsoku/>
        <w:overflowPunct/>
        <w:bidi w:val="0"/>
        <w:adjustRightInd w:val="0"/>
        <w:snapToGrid w:val="0"/>
        <w:spacing w:line="520" w:lineRule="exact"/>
        <w:ind w:left="0" w:leftChars="0" w:right="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1.合同标的明细</w:t>
      </w:r>
    </w:p>
    <w:tbl>
      <w:tblPr>
        <w:tblStyle w:val="23"/>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979"/>
        <w:gridCol w:w="2634"/>
        <w:gridCol w:w="1642"/>
        <w:gridCol w:w="1201"/>
        <w:gridCol w:w="877"/>
        <w:gridCol w:w="926"/>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5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81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b/>
                <w:bCs/>
                <w:sz w:val="21"/>
                <w:szCs w:val="21"/>
              </w:rPr>
            </w:pPr>
            <w:r>
              <w:rPr>
                <w:rFonts w:hint="eastAsia" w:ascii="宋体" w:hAnsi="宋体" w:eastAsia="宋体" w:cs="宋体"/>
                <w:b/>
                <w:bCs/>
                <w:sz w:val="21"/>
                <w:szCs w:val="21"/>
              </w:rPr>
              <w:t>标的名称</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b/>
                <w:bCs/>
                <w:sz w:val="21"/>
                <w:szCs w:val="21"/>
              </w:rPr>
            </w:pPr>
            <w:r>
              <w:rPr>
                <w:rFonts w:hint="eastAsia" w:ascii="宋体" w:hAnsi="宋体" w:eastAsia="宋体" w:cs="宋体"/>
                <w:b/>
                <w:bCs/>
                <w:sz w:val="21"/>
                <w:szCs w:val="21"/>
              </w:rPr>
              <w:t>制造商或品牌</w:t>
            </w: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b/>
                <w:bCs/>
                <w:sz w:val="21"/>
                <w:szCs w:val="21"/>
              </w:rPr>
            </w:pPr>
            <w:r>
              <w:rPr>
                <w:rFonts w:hint="eastAsia" w:ascii="宋体" w:hAnsi="宋体" w:eastAsia="宋体" w:cs="宋体"/>
                <w:b/>
                <w:bCs/>
                <w:sz w:val="21"/>
                <w:szCs w:val="21"/>
              </w:rPr>
              <w:t>规格型号</w:t>
            </w: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b/>
                <w:bCs/>
                <w:sz w:val="21"/>
                <w:szCs w:val="21"/>
              </w:rPr>
            </w:pPr>
            <w:r>
              <w:rPr>
                <w:rFonts w:hint="eastAsia" w:ascii="宋体" w:hAnsi="宋体" w:eastAsia="宋体" w:cs="宋体"/>
                <w:b/>
                <w:bCs/>
                <w:sz w:val="21"/>
                <w:szCs w:val="21"/>
              </w:rPr>
              <w:t>数量</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b/>
                <w:bCs/>
                <w:sz w:val="21"/>
                <w:szCs w:val="21"/>
              </w:rPr>
            </w:pPr>
            <w:r>
              <w:rPr>
                <w:rFonts w:hint="eastAsia" w:ascii="宋体" w:hAnsi="宋体" w:eastAsia="宋体" w:cs="宋体"/>
                <w:b/>
                <w:bCs/>
                <w:sz w:val="21"/>
                <w:szCs w:val="21"/>
              </w:rPr>
              <w:t>单位</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b/>
                <w:bCs/>
                <w:sz w:val="21"/>
                <w:szCs w:val="21"/>
              </w:rPr>
            </w:pPr>
            <w:r>
              <w:rPr>
                <w:rFonts w:hint="eastAsia" w:ascii="宋体" w:hAnsi="宋体" w:eastAsia="宋体" w:cs="宋体"/>
                <w:b/>
                <w:bCs/>
                <w:sz w:val="21"/>
                <w:szCs w:val="21"/>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1</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A1工装套装</w:t>
            </w: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长袖茄克套装中的上装</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eastAsia" w:ascii="宋体" w:hAnsi="宋体" w:eastAsia="宋体" w:cs="宋体"/>
                <w:color w:val="000000"/>
                <w:kern w:val="2"/>
                <w:sz w:val="21"/>
                <w:szCs w:val="21"/>
                <w:lang w:val="en-US" w:eastAsia="zh-CN" w:bidi="ar-SA"/>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eastAsia" w:ascii="宋体" w:hAnsi="宋体" w:eastAsia="宋体" w:cs="宋体"/>
                <w:color w:val="000000"/>
                <w:kern w:val="2"/>
                <w:sz w:val="21"/>
                <w:szCs w:val="21"/>
                <w:lang w:val="en-US" w:eastAsia="zh-CN" w:bidi="ar-SA"/>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长袖茄克套装中的下装</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短袖茄克套装中的下装</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短袖T恤</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2</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A2西装套装</w:t>
            </w:r>
            <w:r>
              <w:rPr>
                <w:rFonts w:hint="eastAsia" w:ascii="宋体" w:hAnsi="宋体" w:eastAsia="宋体" w:cs="宋体"/>
                <w:sz w:val="21"/>
                <w:szCs w:val="21"/>
                <w:lang w:eastAsia="zh-CN"/>
              </w:rPr>
              <w:t>(</w:t>
            </w:r>
            <w:r>
              <w:rPr>
                <w:rFonts w:hint="eastAsia" w:ascii="宋体" w:hAnsi="宋体" w:eastAsia="宋体" w:cs="宋体"/>
                <w:sz w:val="21"/>
                <w:szCs w:val="21"/>
              </w:rPr>
              <w:t>男</w:t>
            </w:r>
            <w:r>
              <w:rPr>
                <w:rFonts w:hint="eastAsia" w:ascii="宋体" w:hAnsi="宋体" w:eastAsia="宋体" w:cs="宋体"/>
                <w:sz w:val="21"/>
                <w:szCs w:val="21"/>
                <w:lang w:eastAsia="zh-CN"/>
              </w:rPr>
              <w:t>)</w:t>
            </w: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西服套装中的上衣</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西服</w:t>
            </w:r>
            <w:r>
              <w:rPr>
                <w:rFonts w:hint="eastAsia" w:ascii="宋体" w:hAnsi="宋体" w:eastAsia="宋体" w:cs="宋体"/>
                <w:color w:val="000000"/>
                <w:sz w:val="21"/>
                <w:szCs w:val="21"/>
                <w:lang w:eastAsia="zh-CN"/>
              </w:rPr>
              <w:t>)</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西服套装中的下装</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西裤</w:t>
            </w:r>
            <w:r>
              <w:rPr>
                <w:rFonts w:hint="eastAsia" w:ascii="宋体" w:hAnsi="宋体" w:eastAsia="宋体" w:cs="宋体"/>
                <w:color w:val="000000"/>
                <w:sz w:val="21"/>
                <w:szCs w:val="21"/>
                <w:lang w:eastAsia="zh-CN"/>
              </w:rPr>
              <w:t>)</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长袖衬衫</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领带</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条</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3</w:t>
            </w:r>
          </w:p>
        </w:tc>
        <w:tc>
          <w:tcPr>
            <w:tcW w:w="49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A2西装套装</w:t>
            </w:r>
            <w:r>
              <w:rPr>
                <w:rFonts w:hint="eastAsia" w:ascii="宋体" w:hAnsi="宋体" w:eastAsia="宋体" w:cs="宋体"/>
                <w:sz w:val="21"/>
                <w:szCs w:val="21"/>
                <w:lang w:eastAsia="zh-CN"/>
              </w:rPr>
              <w:t>(</w:t>
            </w:r>
            <w:r>
              <w:rPr>
                <w:rFonts w:hint="eastAsia" w:ascii="宋体" w:hAnsi="宋体" w:eastAsia="宋体" w:cs="宋体"/>
                <w:sz w:val="21"/>
                <w:szCs w:val="21"/>
              </w:rPr>
              <w:t>女</w:t>
            </w:r>
            <w:r>
              <w:rPr>
                <w:rFonts w:hint="eastAsia" w:ascii="宋体" w:hAnsi="宋体" w:eastAsia="宋体" w:cs="宋体"/>
                <w:sz w:val="21"/>
                <w:szCs w:val="21"/>
                <w:lang w:eastAsia="zh-CN"/>
              </w:rPr>
              <w:t>)</w:t>
            </w: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西服套装中的上衣</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西服</w:t>
            </w:r>
            <w:r>
              <w:rPr>
                <w:rFonts w:hint="eastAsia" w:ascii="宋体" w:hAnsi="宋体" w:eastAsia="宋体" w:cs="宋体"/>
                <w:color w:val="000000"/>
                <w:sz w:val="21"/>
                <w:szCs w:val="21"/>
                <w:lang w:eastAsia="zh-CN"/>
              </w:rPr>
              <w:t>)</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西服套装中的下装</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西裤</w:t>
            </w:r>
            <w:r>
              <w:rPr>
                <w:rFonts w:hint="eastAsia" w:ascii="宋体" w:hAnsi="宋体" w:eastAsia="宋体" w:cs="宋体"/>
                <w:color w:val="000000"/>
                <w:sz w:val="21"/>
                <w:szCs w:val="21"/>
                <w:lang w:eastAsia="zh-CN"/>
              </w:rPr>
              <w:t>)</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西服套装中的下装</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及膝包裙</w:t>
            </w:r>
            <w:r>
              <w:rPr>
                <w:rFonts w:hint="eastAsia" w:ascii="宋体" w:hAnsi="宋体" w:eastAsia="宋体" w:cs="宋体"/>
                <w:color w:val="000000"/>
                <w:sz w:val="21"/>
                <w:szCs w:val="21"/>
                <w:lang w:eastAsia="zh-CN"/>
              </w:rPr>
              <w:t>)</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长袖衬衫</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4</w:t>
            </w:r>
          </w:p>
        </w:tc>
        <w:tc>
          <w:tcPr>
            <w:tcW w:w="49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B1工装套装</w:t>
            </w: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长袖茄克套装中的上衣</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长袖茄克套装中的下装</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短袖茄克</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FF"/>
                <w:sz w:val="21"/>
                <w:szCs w:val="21"/>
              </w:rPr>
            </w:pPr>
            <w:r>
              <w:rPr>
                <w:rFonts w:hint="eastAsia" w:ascii="宋体" w:hAnsi="宋体" w:eastAsia="宋体" w:cs="宋体"/>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FF"/>
                <w:sz w:val="21"/>
                <w:szCs w:val="21"/>
              </w:rPr>
            </w:pPr>
            <w:r>
              <w:rPr>
                <w:rFonts w:hint="eastAsia" w:ascii="宋体" w:hAnsi="宋体" w:eastAsia="宋体" w:cs="宋体"/>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短袖T恤</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FF"/>
                <w:sz w:val="21"/>
                <w:szCs w:val="21"/>
              </w:rPr>
            </w:pPr>
            <w:r>
              <w:rPr>
                <w:rFonts w:hint="eastAsia" w:ascii="宋体" w:hAnsi="宋体" w:eastAsia="宋体" w:cs="宋体"/>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FF"/>
                <w:sz w:val="21"/>
                <w:szCs w:val="21"/>
              </w:rPr>
            </w:pPr>
            <w:r>
              <w:rPr>
                <w:rFonts w:hint="eastAsia" w:ascii="宋体" w:hAnsi="宋体" w:eastAsia="宋体" w:cs="宋体"/>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4</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B2西服套装</w:t>
            </w:r>
            <w:r>
              <w:rPr>
                <w:rFonts w:hint="eastAsia" w:ascii="宋体" w:hAnsi="宋体" w:eastAsia="宋体" w:cs="宋体"/>
                <w:sz w:val="21"/>
                <w:szCs w:val="21"/>
                <w:lang w:eastAsia="zh-CN"/>
              </w:rPr>
              <w:t>(</w:t>
            </w:r>
            <w:r>
              <w:rPr>
                <w:rFonts w:hint="eastAsia" w:ascii="宋体" w:hAnsi="宋体" w:eastAsia="宋体" w:cs="宋体"/>
                <w:sz w:val="21"/>
                <w:szCs w:val="21"/>
              </w:rPr>
              <w:t>男</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西服套装中的上衣</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西服</w:t>
            </w:r>
            <w:r>
              <w:rPr>
                <w:rFonts w:hint="eastAsia" w:ascii="宋体" w:hAnsi="宋体" w:eastAsia="宋体" w:cs="宋体"/>
                <w:color w:val="000000"/>
                <w:sz w:val="21"/>
                <w:szCs w:val="21"/>
                <w:lang w:eastAsia="zh-CN"/>
              </w:rPr>
              <w:t>)</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西服套装中的下装</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西裤</w:t>
            </w:r>
            <w:r>
              <w:rPr>
                <w:rFonts w:hint="eastAsia" w:ascii="宋体" w:hAnsi="宋体" w:eastAsia="宋体" w:cs="宋体"/>
                <w:color w:val="000000"/>
                <w:sz w:val="21"/>
                <w:szCs w:val="21"/>
                <w:lang w:eastAsia="zh-CN"/>
              </w:rPr>
              <w:t>)</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长袖衬衫</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短袖衬衫</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领带</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条</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短袖T恤</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5</w:t>
            </w:r>
          </w:p>
        </w:tc>
        <w:tc>
          <w:tcPr>
            <w:tcW w:w="49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B2西服套装</w:t>
            </w:r>
            <w:r>
              <w:rPr>
                <w:rFonts w:hint="eastAsia" w:ascii="宋体" w:hAnsi="宋体" w:eastAsia="宋体" w:cs="宋体"/>
                <w:sz w:val="21"/>
                <w:szCs w:val="21"/>
                <w:lang w:eastAsia="zh-CN"/>
              </w:rPr>
              <w:t>(</w:t>
            </w:r>
            <w:r>
              <w:rPr>
                <w:rFonts w:hint="eastAsia" w:ascii="宋体" w:hAnsi="宋体" w:eastAsia="宋体" w:cs="宋体"/>
                <w:sz w:val="21"/>
                <w:szCs w:val="21"/>
              </w:rPr>
              <w:t>女</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西服套装中的上衣</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西服</w:t>
            </w:r>
            <w:r>
              <w:rPr>
                <w:rFonts w:hint="eastAsia" w:ascii="宋体" w:hAnsi="宋体" w:eastAsia="宋体" w:cs="宋体"/>
                <w:color w:val="000000"/>
                <w:sz w:val="21"/>
                <w:szCs w:val="21"/>
                <w:lang w:eastAsia="zh-CN"/>
              </w:rPr>
              <w:t>)</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西服套装中的下装</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西裤</w:t>
            </w:r>
            <w:r>
              <w:rPr>
                <w:rFonts w:hint="eastAsia" w:ascii="宋体" w:hAnsi="宋体" w:eastAsia="宋体" w:cs="宋体"/>
                <w:color w:val="000000"/>
                <w:sz w:val="21"/>
                <w:szCs w:val="21"/>
                <w:lang w:eastAsia="zh-CN"/>
              </w:rPr>
              <w:t>)</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长袖衬衫</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短袖衬衫</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西服套装中的下装</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及膝包裙</w:t>
            </w:r>
            <w:r>
              <w:rPr>
                <w:rFonts w:hint="eastAsia" w:ascii="宋体" w:hAnsi="宋体" w:eastAsia="宋体" w:cs="宋体"/>
                <w:color w:val="000000"/>
                <w:sz w:val="21"/>
                <w:szCs w:val="21"/>
                <w:lang w:eastAsia="zh-CN"/>
              </w:rPr>
              <w:t>)</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4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sz w:val="21"/>
                <w:szCs w:val="21"/>
              </w:rPr>
            </w:pPr>
          </w:p>
        </w:tc>
        <w:tc>
          <w:tcPr>
            <w:tcW w:w="132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短袖T恤</w:t>
            </w:r>
          </w:p>
        </w:tc>
        <w:tc>
          <w:tcPr>
            <w:tcW w:w="8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6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c>
          <w:tcPr>
            <w:tcW w:w="44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4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件</w:t>
            </w:r>
          </w:p>
        </w:tc>
        <w:tc>
          <w:tcPr>
            <w:tcW w:w="4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firstLine="0" w:firstLineChars="0"/>
              <w:jc w:val="center"/>
              <w:textAlignment w:val="auto"/>
              <w:outlineLvl w:val="9"/>
              <w:rPr>
                <w:rFonts w:hint="eastAsia" w:ascii="宋体" w:hAnsi="宋体" w:eastAsia="宋体" w:cs="宋体"/>
                <w:color w:val="000000"/>
                <w:sz w:val="21"/>
                <w:szCs w:val="21"/>
              </w:rPr>
            </w:pPr>
          </w:p>
        </w:tc>
      </w:tr>
    </w:tbl>
    <w:p>
      <w:pPr>
        <w:keepNext w:val="0"/>
        <w:keepLines w:val="0"/>
        <w:pageBreakBefore w:val="0"/>
        <w:widowControl w:val="0"/>
        <w:kinsoku/>
        <w:overflowPunct/>
        <w:bidi w:val="0"/>
        <w:adjustRightInd w:val="0"/>
        <w:snapToGrid w:val="0"/>
        <w:spacing w:line="520" w:lineRule="exact"/>
        <w:ind w:left="0" w:leftChars="0" w:right="0" w:firstLine="482" w:firstLineChars="200"/>
        <w:jc w:val="lef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三、履约时间和方式</w:t>
      </w:r>
    </w:p>
    <w:p>
      <w:pPr>
        <w:keepNext w:val="0"/>
        <w:keepLines w:val="0"/>
        <w:pageBreakBefore w:val="0"/>
        <w:widowControl w:val="0"/>
        <w:kinsoku/>
        <w:overflowPunct/>
        <w:bidi w:val="0"/>
        <w:adjustRightInd w:val="0"/>
        <w:snapToGrid w:val="0"/>
        <w:spacing w:line="520" w:lineRule="exact"/>
        <w:ind w:left="0" w:leftChars="0" w:right="0" w:firstLine="482" w:firstLineChars="200"/>
        <w:textAlignment w:val="auto"/>
        <w:outlineLvl w:val="9"/>
        <w:rPr>
          <w:rFonts w:hint="eastAsia" w:ascii="宋体" w:hAnsi="宋体" w:eastAsia="宋体" w:cs="宋体"/>
          <w:sz w:val="24"/>
          <w:szCs w:val="24"/>
        </w:rPr>
      </w:pPr>
      <w:r>
        <w:rPr>
          <w:rFonts w:hint="eastAsia" w:ascii="宋体" w:hAnsi="宋体" w:eastAsia="宋体" w:cs="宋体"/>
          <w:b/>
          <w:sz w:val="24"/>
          <w:szCs w:val="24"/>
          <w:lang w:eastAsia="zh-CN"/>
        </w:rPr>
        <w:t>(</w:t>
      </w:r>
      <w:r>
        <w:rPr>
          <w:rFonts w:hint="eastAsia" w:ascii="宋体" w:hAnsi="宋体" w:eastAsia="宋体" w:cs="宋体"/>
          <w:b/>
          <w:sz w:val="24"/>
          <w:szCs w:val="24"/>
        </w:rPr>
        <w:t>一</w:t>
      </w:r>
      <w:r>
        <w:rPr>
          <w:rFonts w:hint="eastAsia" w:ascii="宋体" w:hAnsi="宋体" w:eastAsia="宋体" w:cs="宋体"/>
          <w:b/>
          <w:sz w:val="24"/>
          <w:szCs w:val="24"/>
          <w:lang w:eastAsia="zh-CN"/>
        </w:rPr>
        <w:t>)</w:t>
      </w:r>
      <w:r>
        <w:rPr>
          <w:rFonts w:hint="eastAsia" w:ascii="宋体" w:hAnsi="宋体" w:eastAsia="宋体" w:cs="宋体"/>
          <w:bCs/>
          <w:sz w:val="24"/>
          <w:szCs w:val="24"/>
        </w:rPr>
        <w:t>履行时间</w:t>
      </w:r>
    </w:p>
    <w:p>
      <w:pPr>
        <w:keepNext w:val="0"/>
        <w:keepLines w:val="0"/>
        <w:pageBreakBefore w:val="0"/>
        <w:widowControl w:val="0"/>
        <w:kinsoku/>
        <w:overflowPunct/>
        <w:bidi w:val="0"/>
        <w:spacing w:line="520" w:lineRule="exact"/>
        <w:ind w:left="0" w:leftChars="0" w:right="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1.本项目服务期限为合同签订之日起一年</w:t>
      </w:r>
      <w:r>
        <w:rPr>
          <w:rFonts w:hint="eastAsia" w:ascii="宋体" w:hAnsi="宋体" w:eastAsia="宋体" w:cs="宋体"/>
          <w:sz w:val="24"/>
          <w:szCs w:val="24"/>
          <w:lang w:eastAsia="zh-CN"/>
        </w:rPr>
        <w:t>内</w:t>
      </w:r>
      <w:r>
        <w:rPr>
          <w:rFonts w:hint="eastAsia" w:ascii="宋体" w:hAnsi="宋体" w:eastAsia="宋体" w:cs="宋体"/>
          <w:sz w:val="24"/>
          <w:szCs w:val="24"/>
        </w:rPr>
        <w:t>，202</w:t>
      </w:r>
      <w:r>
        <w:rPr>
          <w:rFonts w:hint="eastAsia" w:ascii="宋体" w:hAnsi="宋体" w:eastAsia="宋体" w:cs="宋体"/>
          <w:sz w:val="24"/>
          <w:szCs w:val="24"/>
          <w:lang w:val="en-US" w:eastAsia="zh-CN"/>
        </w:rPr>
        <w:t>3</w:t>
      </w:r>
      <w:r>
        <w:rPr>
          <w:rFonts w:hint="eastAsia" w:ascii="宋体" w:hAnsi="宋体" w:eastAsia="宋体" w:cs="宋体"/>
          <w:sz w:val="24"/>
          <w:szCs w:val="24"/>
        </w:rPr>
        <w:t>年  月  日至2023年  月  日。</w:t>
      </w:r>
    </w:p>
    <w:p>
      <w:pPr>
        <w:keepNext w:val="0"/>
        <w:keepLines w:val="0"/>
        <w:pageBreakBefore w:val="0"/>
        <w:widowControl w:val="0"/>
        <w:kinsoku/>
        <w:overflowPunct/>
        <w:bidi w:val="0"/>
        <w:spacing w:line="520" w:lineRule="exact"/>
        <w:ind w:left="0" w:leftChars="0" w:right="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1.1</w:t>
      </w:r>
      <w:r>
        <w:rPr>
          <w:rFonts w:hint="eastAsia" w:ascii="宋体" w:hAnsi="宋体" w:eastAsia="宋体" w:cs="宋体"/>
          <w:sz w:val="24"/>
          <w:szCs w:val="24"/>
          <w:lang w:val="en-US" w:eastAsia="zh-CN"/>
        </w:rPr>
        <w:t>服务期内，</w:t>
      </w:r>
      <w:r>
        <w:rPr>
          <w:rFonts w:hint="eastAsia" w:ascii="宋体" w:hAnsi="宋体" w:eastAsia="宋体" w:cs="宋体"/>
          <w:sz w:val="24"/>
          <w:szCs w:val="24"/>
        </w:rPr>
        <w:t>乙方在收到甲方书面通知</w:t>
      </w:r>
      <w:r>
        <w:rPr>
          <w:rFonts w:hint="eastAsia" w:ascii="宋体" w:hAnsi="宋体" w:eastAsia="宋体" w:cs="宋体"/>
          <w:sz w:val="24"/>
          <w:szCs w:val="24"/>
          <w:lang w:eastAsia="zh-CN"/>
        </w:rPr>
        <w:t>(</w:t>
      </w:r>
      <w:r>
        <w:rPr>
          <w:rFonts w:hint="eastAsia" w:ascii="宋体" w:hAnsi="宋体" w:eastAsia="宋体" w:cs="宋体"/>
          <w:sz w:val="24"/>
          <w:szCs w:val="24"/>
        </w:rPr>
        <w:t>测量</w:t>
      </w:r>
      <w:r>
        <w:rPr>
          <w:rFonts w:hint="eastAsia" w:ascii="宋体" w:hAnsi="宋体" w:eastAsia="宋体" w:cs="宋体"/>
          <w:sz w:val="24"/>
          <w:szCs w:val="24"/>
          <w:lang w:eastAsia="zh-CN"/>
        </w:rPr>
        <w:t>)</w:t>
      </w:r>
      <w:r>
        <w:rPr>
          <w:rFonts w:hint="eastAsia" w:ascii="宋体" w:hAnsi="宋体" w:eastAsia="宋体" w:cs="宋体"/>
          <w:sz w:val="24"/>
          <w:szCs w:val="24"/>
        </w:rPr>
        <w:t>之日起7个日历天内完成现场测量。</w:t>
      </w:r>
    </w:p>
    <w:p>
      <w:pPr>
        <w:keepNext w:val="0"/>
        <w:keepLines w:val="0"/>
        <w:pageBreakBefore w:val="0"/>
        <w:widowControl w:val="0"/>
        <w:kinsoku/>
        <w:overflowPunct/>
        <w:bidi w:val="0"/>
        <w:adjustRightInd/>
        <w:snapToGrid/>
        <w:spacing w:line="520" w:lineRule="exact"/>
        <w:ind w:left="0" w:leftChars="0" w:right="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1.2测量后经</w:t>
      </w:r>
      <w:r>
        <w:rPr>
          <w:rFonts w:hint="eastAsia" w:ascii="宋体" w:hAnsi="宋体" w:eastAsia="宋体" w:cs="宋体"/>
          <w:sz w:val="24"/>
          <w:szCs w:val="24"/>
          <w:lang w:val="en-US" w:eastAsia="zh-CN"/>
        </w:rPr>
        <w:t>甲方</w:t>
      </w:r>
      <w:r>
        <w:rPr>
          <w:rFonts w:hint="eastAsia" w:ascii="宋体" w:hAnsi="宋体" w:eastAsia="宋体" w:cs="宋体"/>
          <w:sz w:val="24"/>
          <w:szCs w:val="24"/>
        </w:rPr>
        <w:t>确认之日起</w:t>
      </w:r>
      <w:r>
        <w:rPr>
          <w:rFonts w:hint="eastAsia" w:ascii="宋体" w:hAnsi="宋体" w:eastAsia="宋体" w:cs="宋体"/>
          <w:b w:val="0"/>
          <w:bCs/>
          <w:color w:val="auto"/>
          <w:sz w:val="24"/>
          <w:szCs w:val="24"/>
          <w:highlight w:val="none"/>
          <w:lang w:val="en-US" w:eastAsia="zh-CN"/>
        </w:rPr>
        <w:t>60个日历天内完成工装、西服套装制造、送货工作，并按照甲方要求完成现场发售工作。</w:t>
      </w:r>
    </w:p>
    <w:p>
      <w:pPr>
        <w:keepNext w:val="0"/>
        <w:keepLines w:val="0"/>
        <w:pageBreakBefore w:val="0"/>
        <w:widowControl w:val="0"/>
        <w:kinsoku/>
        <w:overflowPunct/>
        <w:bidi w:val="0"/>
        <w:spacing w:line="520" w:lineRule="exact"/>
        <w:ind w:left="0" w:leftChars="0" w:right="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1.3</w:t>
      </w:r>
      <w:r>
        <w:rPr>
          <w:rFonts w:hint="eastAsia" w:ascii="宋体" w:hAnsi="宋体" w:eastAsia="宋体" w:cs="宋体"/>
          <w:sz w:val="24"/>
          <w:szCs w:val="24"/>
        </w:rPr>
        <w:t>服装的售后服务期为60个日历天，售后服务期从服装验收合格之日起计算。</w:t>
      </w:r>
    </w:p>
    <w:p>
      <w:pPr>
        <w:keepNext w:val="0"/>
        <w:keepLines w:val="0"/>
        <w:pageBreakBefore w:val="0"/>
        <w:widowControl w:val="0"/>
        <w:kinsoku/>
        <w:overflowPunct/>
        <w:bidi w:val="0"/>
        <w:adjustRightInd w:val="0"/>
        <w:snapToGrid w:val="0"/>
        <w:spacing w:line="520" w:lineRule="exact"/>
        <w:ind w:left="0" w:leftChars="0" w:right="0" w:firstLine="482" w:firstLineChars="200"/>
        <w:jc w:val="left"/>
        <w:textAlignment w:val="auto"/>
        <w:outlineLvl w:val="9"/>
        <w:rPr>
          <w:rFonts w:hint="eastAsia" w:ascii="宋体" w:hAnsi="宋体" w:eastAsia="宋体" w:cs="宋体"/>
          <w:b/>
          <w:bCs/>
          <w:sz w:val="24"/>
          <w:szCs w:val="24"/>
          <w:highlight w:val="red"/>
        </w:rPr>
      </w:pPr>
      <w:r>
        <w:rPr>
          <w:rFonts w:hint="eastAsia" w:ascii="宋体" w:hAnsi="宋体" w:eastAsia="宋体" w:cs="宋体"/>
          <w:b/>
          <w:bCs/>
          <w:sz w:val="24"/>
          <w:szCs w:val="24"/>
        </w:rPr>
        <w:t>四、履约地点</w:t>
      </w:r>
    </w:p>
    <w:p>
      <w:pPr>
        <w:adjustRightInd w:val="0"/>
        <w:snapToGrid w:val="0"/>
        <w:spacing w:line="520" w:lineRule="exact"/>
        <w:ind w:firstLine="480" w:firstLineChars="200"/>
        <w:rPr>
          <w:rFonts w:hint="eastAsia" w:ascii="宋体" w:hAnsi="宋体" w:eastAsia="宋体" w:cs="宋体"/>
          <w:bCs w:val="0"/>
          <w:kern w:val="2"/>
          <w:sz w:val="24"/>
        </w:rPr>
      </w:pPr>
      <w:r>
        <w:rPr>
          <w:rFonts w:hint="eastAsia" w:ascii="宋体" w:hAnsi="宋体" w:eastAsia="宋体" w:cs="宋体"/>
          <w:bCs w:val="0"/>
          <w:kern w:val="2"/>
          <w:sz w:val="24"/>
          <w:lang w:val="en-US" w:eastAsia="zh-CN"/>
        </w:rPr>
        <w:t>2.</w:t>
      </w:r>
      <w:r>
        <w:rPr>
          <w:rFonts w:hint="eastAsia" w:ascii="宋体" w:hAnsi="宋体" w:eastAsia="宋体" w:cs="宋体"/>
          <w:bCs w:val="0"/>
          <w:kern w:val="2"/>
          <w:sz w:val="24"/>
        </w:rPr>
        <w:t>1郫都校区：成都市郫都区港通北三路1899号 </w:t>
      </w:r>
    </w:p>
    <w:p>
      <w:pPr>
        <w:adjustRightInd w:val="0"/>
        <w:snapToGrid w:val="0"/>
        <w:spacing w:line="520" w:lineRule="exact"/>
        <w:ind w:firstLine="480" w:firstLineChars="200"/>
        <w:rPr>
          <w:rFonts w:hint="eastAsia" w:ascii="宋体" w:hAnsi="宋体" w:eastAsia="宋体" w:cs="宋体"/>
          <w:bCs w:val="0"/>
          <w:kern w:val="2"/>
          <w:sz w:val="24"/>
        </w:rPr>
      </w:pPr>
      <w:r>
        <w:rPr>
          <w:rFonts w:hint="eastAsia" w:ascii="宋体" w:hAnsi="宋体" w:eastAsia="宋体" w:cs="宋体"/>
          <w:bCs w:val="0"/>
          <w:kern w:val="2"/>
          <w:sz w:val="24"/>
          <w:lang w:val="en-US" w:eastAsia="zh-CN"/>
        </w:rPr>
        <w:t>2.</w:t>
      </w:r>
      <w:r>
        <w:rPr>
          <w:rFonts w:hint="eastAsia" w:ascii="宋体" w:hAnsi="宋体" w:eastAsia="宋体" w:cs="宋体"/>
          <w:bCs w:val="0"/>
          <w:kern w:val="2"/>
          <w:sz w:val="24"/>
        </w:rPr>
        <w:t>2新都校区：成都市新都区北新路301号</w:t>
      </w:r>
    </w:p>
    <w:p>
      <w:pPr>
        <w:spacing w:line="520" w:lineRule="exact"/>
        <w:ind w:firstLine="480" w:firstLineChars="200"/>
        <w:rPr>
          <w:rFonts w:hint="eastAsia" w:ascii="宋体" w:hAnsi="宋体" w:eastAsia="宋体" w:cs="宋体"/>
          <w:bCs w:val="0"/>
          <w:kern w:val="2"/>
          <w:sz w:val="24"/>
        </w:rPr>
      </w:pPr>
      <w:r>
        <w:rPr>
          <w:rFonts w:hint="eastAsia" w:ascii="宋体" w:hAnsi="宋体" w:eastAsia="宋体" w:cs="宋体"/>
          <w:bCs w:val="0"/>
          <w:kern w:val="2"/>
          <w:sz w:val="24"/>
          <w:lang w:val="en-US" w:eastAsia="zh-CN"/>
        </w:rPr>
        <w:t>2.</w:t>
      </w:r>
      <w:r>
        <w:rPr>
          <w:rFonts w:hint="eastAsia" w:ascii="宋体" w:hAnsi="宋体" w:eastAsia="宋体" w:cs="宋体"/>
          <w:bCs w:val="0"/>
          <w:kern w:val="2"/>
          <w:sz w:val="24"/>
        </w:rPr>
        <w:t>3郫都西校区：成都市郫都区高店路1666号</w:t>
      </w:r>
    </w:p>
    <w:p>
      <w:pPr>
        <w:spacing w:line="520" w:lineRule="exact"/>
        <w:ind w:firstLine="480" w:firstLineChars="200"/>
        <w:rPr>
          <w:rFonts w:hint="eastAsia" w:ascii="宋体" w:hAnsi="宋体" w:eastAsia="宋体" w:cs="宋体"/>
          <w:bCs w:val="0"/>
          <w:kern w:val="2"/>
          <w:sz w:val="24"/>
        </w:rPr>
      </w:pPr>
      <w:r>
        <w:rPr>
          <w:rFonts w:hint="eastAsia" w:ascii="宋体" w:hAnsi="宋体" w:eastAsia="宋体" w:cs="宋体"/>
          <w:bCs w:val="0"/>
          <w:kern w:val="2"/>
          <w:sz w:val="24"/>
          <w:lang w:val="en-US" w:eastAsia="zh-CN"/>
        </w:rPr>
        <w:t>2.</w:t>
      </w:r>
      <w:r>
        <w:rPr>
          <w:rFonts w:hint="eastAsia" w:ascii="宋体" w:hAnsi="宋体" w:eastAsia="宋体" w:cs="宋体"/>
          <w:bCs w:val="0"/>
          <w:kern w:val="2"/>
          <w:sz w:val="24"/>
        </w:rPr>
        <w:t>4成华校区：成都市成华区槐树店路32号 </w:t>
      </w:r>
    </w:p>
    <w:p>
      <w:pPr>
        <w:pStyle w:val="79"/>
        <w:keepNext w:val="0"/>
        <w:keepLines w:val="0"/>
        <w:pageBreakBefore w:val="0"/>
        <w:widowControl w:val="0"/>
        <w:tabs>
          <w:tab w:val="left" w:pos="965"/>
        </w:tabs>
        <w:kinsoku/>
        <w:overflowPunct/>
        <w:autoSpaceDE w:val="0"/>
        <w:autoSpaceDN w:val="0"/>
        <w:bidi w:val="0"/>
        <w:spacing w:line="520" w:lineRule="exact"/>
        <w:ind w:left="0" w:leftChars="0" w:right="0" w:firstLine="480" w:firstLineChars="200"/>
        <w:textAlignment w:val="auto"/>
        <w:outlineLvl w:val="9"/>
        <w:rPr>
          <w:rFonts w:hint="eastAsia" w:ascii="宋体" w:hAnsi="宋体" w:eastAsia="宋体" w:cs="宋体"/>
          <w:b/>
          <w:bCs/>
          <w:sz w:val="24"/>
          <w:szCs w:val="24"/>
        </w:rPr>
      </w:pPr>
      <w:r>
        <w:rPr>
          <w:rFonts w:hint="eastAsia" w:ascii="宋体" w:hAnsi="宋体" w:eastAsia="宋体" w:cs="宋体"/>
          <w:sz w:val="24"/>
          <w:szCs w:val="24"/>
        </w:rPr>
        <w:t>具体数量分配以甲方实际供货通知</w:t>
      </w:r>
      <w:r>
        <w:rPr>
          <w:rFonts w:hint="eastAsia" w:ascii="宋体" w:hAnsi="宋体" w:eastAsia="宋体" w:cs="宋体"/>
          <w:sz w:val="24"/>
          <w:szCs w:val="24"/>
          <w:lang w:eastAsia="zh-CN"/>
        </w:rPr>
        <w:t>(</w:t>
      </w:r>
      <w:r>
        <w:rPr>
          <w:rFonts w:hint="eastAsia" w:ascii="宋体" w:hAnsi="宋体" w:eastAsia="宋体" w:cs="宋体"/>
          <w:sz w:val="24"/>
          <w:szCs w:val="24"/>
        </w:rPr>
        <w:t>采购明细</w:t>
      </w:r>
      <w:r>
        <w:rPr>
          <w:rFonts w:hint="eastAsia" w:ascii="宋体" w:hAnsi="宋体" w:eastAsia="宋体" w:cs="宋体"/>
          <w:sz w:val="24"/>
          <w:szCs w:val="24"/>
          <w:lang w:eastAsia="zh-CN"/>
        </w:rPr>
        <w:t>)</w:t>
      </w:r>
      <w:r>
        <w:rPr>
          <w:rFonts w:hint="eastAsia" w:ascii="宋体" w:hAnsi="宋体" w:eastAsia="宋体" w:cs="宋体"/>
          <w:sz w:val="24"/>
          <w:szCs w:val="24"/>
        </w:rPr>
        <w:t>为准。</w:t>
      </w:r>
    </w:p>
    <w:p>
      <w:pPr>
        <w:keepNext w:val="0"/>
        <w:keepLines w:val="0"/>
        <w:pageBreakBefore w:val="0"/>
        <w:widowControl w:val="0"/>
        <w:kinsoku/>
        <w:overflowPunct/>
        <w:bidi w:val="0"/>
        <w:adjustRightInd w:val="0"/>
        <w:snapToGrid w:val="0"/>
        <w:spacing w:line="520" w:lineRule="exact"/>
        <w:ind w:left="0" w:leftChars="0" w:right="0"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五、合同</w:t>
      </w:r>
      <w:r>
        <w:rPr>
          <w:rFonts w:hint="eastAsia" w:cs="宋体"/>
          <w:b/>
          <w:bCs/>
          <w:sz w:val="24"/>
          <w:szCs w:val="24"/>
          <w:lang w:val="en-US" w:eastAsia="zh-CN"/>
        </w:rPr>
        <w:t>单价</w:t>
      </w:r>
      <w:r>
        <w:rPr>
          <w:rFonts w:hint="eastAsia" w:ascii="宋体" w:hAnsi="宋体" w:eastAsia="宋体" w:cs="宋体"/>
          <w:b/>
          <w:bCs/>
          <w:sz w:val="24"/>
          <w:szCs w:val="24"/>
        </w:rPr>
        <w:t>、付款安排、支付方式</w:t>
      </w:r>
    </w:p>
    <w:p>
      <w:pPr>
        <w:keepNext w:val="0"/>
        <w:keepLines w:val="0"/>
        <w:pageBreakBefore w:val="0"/>
        <w:widowControl w:val="0"/>
        <w:kinsoku/>
        <w:overflowPunct/>
        <w:bidi w:val="0"/>
        <w:adjustRightInd w:val="0"/>
        <w:snapToGrid w:val="0"/>
        <w:spacing w:line="520" w:lineRule="exact"/>
        <w:ind w:left="0" w:leftChars="0" w:right="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cs="宋体"/>
          <w:sz w:val="24"/>
          <w:szCs w:val="24"/>
          <w:lang w:val="en-US" w:eastAsia="zh-CN"/>
        </w:rPr>
        <w:t>合同</w:t>
      </w:r>
      <w:r>
        <w:rPr>
          <w:rFonts w:hint="eastAsia" w:ascii="宋体" w:hAnsi="宋体" w:eastAsia="宋体" w:cs="宋体"/>
          <w:sz w:val="24"/>
          <w:szCs w:val="24"/>
        </w:rPr>
        <w:t>单价为固定</w:t>
      </w:r>
      <w:r>
        <w:rPr>
          <w:rFonts w:hint="eastAsia" w:ascii="宋体" w:hAnsi="宋体" w:eastAsia="宋体" w:cs="宋体"/>
          <w:sz w:val="24"/>
          <w:szCs w:val="24"/>
          <w:highlight w:val="none"/>
        </w:rPr>
        <w:t>综合</w:t>
      </w:r>
      <w:r>
        <w:rPr>
          <w:rFonts w:hint="eastAsia" w:ascii="宋体" w:hAnsi="宋体" w:eastAsia="宋体" w:cs="宋体"/>
          <w:sz w:val="24"/>
          <w:szCs w:val="24"/>
        </w:rPr>
        <w:t>单价，包括但不限于测量、服装设计、原材料、服装制作、包装、运输、</w:t>
      </w:r>
      <w:r>
        <w:rPr>
          <w:rFonts w:hint="eastAsia" w:ascii="宋体" w:hAnsi="宋体" w:eastAsia="宋体" w:cs="宋体"/>
          <w:sz w:val="24"/>
          <w:szCs w:val="24"/>
          <w:highlight w:val="none"/>
        </w:rPr>
        <w:t>质检、</w:t>
      </w:r>
      <w:r>
        <w:rPr>
          <w:rFonts w:hint="eastAsia" w:ascii="宋体" w:hAnsi="宋体" w:eastAsia="宋体" w:cs="宋体"/>
          <w:sz w:val="24"/>
          <w:szCs w:val="24"/>
        </w:rPr>
        <w:t>人工、售后服务</w:t>
      </w:r>
      <w:r>
        <w:rPr>
          <w:rFonts w:hint="eastAsia" w:ascii="宋体" w:hAnsi="宋体" w:eastAsia="宋体" w:cs="宋体"/>
          <w:sz w:val="24"/>
          <w:szCs w:val="24"/>
          <w:lang w:eastAsia="zh-CN"/>
        </w:rPr>
        <w:t>(</w:t>
      </w:r>
      <w:r>
        <w:rPr>
          <w:rFonts w:hint="eastAsia" w:ascii="宋体" w:hAnsi="宋体" w:eastAsia="宋体" w:cs="宋体"/>
          <w:sz w:val="24"/>
          <w:szCs w:val="24"/>
        </w:rPr>
        <w:t>修补、更换</w:t>
      </w:r>
      <w:r>
        <w:rPr>
          <w:rFonts w:hint="eastAsia" w:ascii="宋体" w:hAnsi="宋体" w:eastAsia="宋体" w:cs="宋体"/>
          <w:sz w:val="24"/>
          <w:szCs w:val="24"/>
          <w:lang w:eastAsia="zh-CN"/>
        </w:rPr>
        <w:t>)</w:t>
      </w:r>
      <w:r>
        <w:rPr>
          <w:rFonts w:hint="eastAsia" w:ascii="宋体" w:hAnsi="宋体" w:eastAsia="宋体" w:cs="宋体"/>
          <w:sz w:val="24"/>
          <w:szCs w:val="24"/>
        </w:rPr>
        <w:t>等乙方完成服装交付所需的所有费用。本合同执行期间单价不变，甲方无须另向乙方支付本合同规定之外的其他任何费用。</w:t>
      </w:r>
    </w:p>
    <w:p>
      <w:pPr>
        <w:keepNext w:val="0"/>
        <w:keepLines w:val="0"/>
        <w:pageBreakBefore w:val="0"/>
        <w:widowControl w:val="0"/>
        <w:kinsoku/>
        <w:overflowPunct/>
        <w:bidi w:val="0"/>
        <w:adjustRightInd w:val="0"/>
        <w:snapToGrid w:val="0"/>
        <w:spacing w:line="520" w:lineRule="exact"/>
        <w:ind w:left="0" w:leftChars="0" w:right="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2.资金支付方式：</w:t>
      </w:r>
      <w:r>
        <w:rPr>
          <w:rFonts w:hint="eastAsia" w:ascii="宋体" w:hAnsi="宋体" w:eastAsia="宋体" w:cs="宋体"/>
          <w:sz w:val="24"/>
          <w:szCs w:val="24"/>
          <w:highlight w:val="none"/>
        </w:rPr>
        <w:t>费用由学生在购买时自行向乙方支付</w:t>
      </w:r>
      <w:r>
        <w:rPr>
          <w:rFonts w:hint="eastAsia" w:ascii="宋体" w:hAnsi="宋体" w:eastAsia="宋体" w:cs="宋体"/>
          <w:sz w:val="24"/>
          <w:szCs w:val="24"/>
          <w:lang w:eastAsia="zh-CN"/>
        </w:rPr>
        <w:t>(</w:t>
      </w:r>
      <w:r>
        <w:rPr>
          <w:rFonts w:hint="eastAsia" w:ascii="宋体" w:hAnsi="宋体" w:eastAsia="宋体" w:cs="宋体"/>
          <w:sz w:val="24"/>
          <w:szCs w:val="24"/>
        </w:rPr>
        <w:t>学生在现场可选择微信、支付宝、现金交易方式支付</w:t>
      </w:r>
      <w:r>
        <w:rPr>
          <w:rFonts w:hint="eastAsia" w:ascii="宋体" w:hAnsi="宋体" w:eastAsia="宋体" w:cs="宋体"/>
          <w:sz w:val="24"/>
          <w:szCs w:val="24"/>
          <w:lang w:eastAsia="zh-CN"/>
        </w:rPr>
        <w:t>)</w:t>
      </w:r>
      <w:r>
        <w:rPr>
          <w:rFonts w:hint="eastAsia" w:ascii="宋体" w:hAnsi="宋体" w:eastAsia="宋体" w:cs="宋体"/>
          <w:sz w:val="24"/>
          <w:szCs w:val="24"/>
        </w:rPr>
        <w:t>。</w:t>
      </w:r>
    </w:p>
    <w:p>
      <w:pPr>
        <w:pStyle w:val="12"/>
        <w:keepNext w:val="0"/>
        <w:keepLines w:val="0"/>
        <w:pageBreakBefore w:val="0"/>
        <w:widowControl w:val="0"/>
        <w:kinsoku/>
        <w:overflowPunct/>
        <w:bidi w:val="0"/>
        <w:adjustRightInd w:val="0"/>
        <w:snapToGrid w:val="0"/>
        <w:spacing w:after="0" w:line="520" w:lineRule="exact"/>
        <w:ind w:left="0" w:leftChars="0" w:right="0" w:firstLine="482" w:firstLineChars="200"/>
        <w:jc w:val="lef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六、质量及供货渠道要求</w:t>
      </w:r>
    </w:p>
    <w:p>
      <w:pPr>
        <w:pStyle w:val="80"/>
        <w:keepNext w:val="0"/>
        <w:keepLines w:val="0"/>
        <w:pageBreakBefore w:val="0"/>
        <w:widowControl w:val="0"/>
        <w:kinsoku/>
        <w:overflowPunct/>
        <w:bidi w:val="0"/>
        <w:adjustRightInd w:val="0"/>
        <w:snapToGrid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1.乙方提供的校服面料、辅料、配件(料)和制作工艺等有关安全与质量都必须符合国家(行业)标准，以及本项目招标文件规定的质量、规格的要求。</w:t>
      </w:r>
    </w:p>
    <w:p>
      <w:pPr>
        <w:keepNext w:val="0"/>
        <w:keepLines w:val="0"/>
        <w:pageBreakBefore w:val="0"/>
        <w:widowControl w:val="0"/>
        <w:kinsoku/>
        <w:overflowPunct/>
        <w:bidi w:val="0"/>
        <w:spacing w:line="520" w:lineRule="exact"/>
        <w:ind w:left="0" w:leftChars="0" w:right="0"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sz w:val="24"/>
          <w:szCs w:val="24"/>
        </w:rPr>
        <w:t>2.</w:t>
      </w:r>
      <w:r>
        <w:rPr>
          <w:rFonts w:hint="eastAsia" w:ascii="宋体" w:hAnsi="宋体" w:eastAsia="宋体" w:cs="宋体"/>
          <w:kern w:val="0"/>
          <w:sz w:val="24"/>
          <w:szCs w:val="24"/>
        </w:rPr>
        <w:t>乙方应保证服装是全新、未使用过的原装合格正品。杜绝假冒伪劣。尺寸符合国家标准，穿着后无皮肤过敏等问题。产品整洁，无污渍、线头，服装熨烫平整。</w:t>
      </w:r>
    </w:p>
    <w:p>
      <w:pPr>
        <w:keepNext w:val="0"/>
        <w:keepLines w:val="0"/>
        <w:pageBreakBefore w:val="0"/>
        <w:widowControl w:val="0"/>
        <w:kinsoku/>
        <w:overflowPunct/>
        <w:bidi w:val="0"/>
        <w:adjustRightInd w:val="0"/>
        <w:snapToGrid w:val="0"/>
        <w:spacing w:line="520" w:lineRule="exact"/>
        <w:ind w:left="0" w:leftChars="0" w:right="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3.乙方严格按照甲方开学计划和要求按时、按质、按量配送产品，送达甲方指定地点后负责服装的发放。</w:t>
      </w:r>
    </w:p>
    <w:p>
      <w:pPr>
        <w:keepNext w:val="0"/>
        <w:keepLines w:val="0"/>
        <w:pageBreakBefore w:val="0"/>
        <w:widowControl w:val="0"/>
        <w:kinsoku/>
        <w:overflowPunct/>
        <w:bidi w:val="0"/>
        <w:spacing w:line="520" w:lineRule="exact"/>
        <w:ind w:left="0" w:leftChars="0" w:right="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4.乙方提供的服装水洗唛必须标明：产品型号规格、面料成份。材质含量及等级。</w:t>
      </w:r>
    </w:p>
    <w:p>
      <w:pPr>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5.乙方提供的服装质量或规格与招标文件和投标文件不符，或证实服装是有缺陷的，包括潜在的缺陷等，乙方应在接到甲方书面通知之日起</w:t>
      </w:r>
      <w:r>
        <w:rPr>
          <w:rFonts w:hint="eastAsia" w:cs="宋体"/>
          <w:sz w:val="24"/>
          <w:szCs w:val="24"/>
          <w:lang w:val="en-US" w:eastAsia="zh-CN"/>
        </w:rPr>
        <w:t>7</w:t>
      </w:r>
      <w:r>
        <w:rPr>
          <w:rFonts w:hint="eastAsia" w:ascii="宋体" w:hAnsi="宋体" w:eastAsia="宋体" w:cs="宋体"/>
          <w:sz w:val="24"/>
          <w:szCs w:val="24"/>
        </w:rPr>
        <w:t>日历天内完成换货，如因不合格服装给甲方及甲方学生造成损失，乙方还应承担赔偿责任。服装因质量问题产生的质监处罚由乙方负全部经济和法律责任。</w:t>
      </w:r>
    </w:p>
    <w:p>
      <w:pPr>
        <w:pStyle w:val="12"/>
        <w:keepNext w:val="0"/>
        <w:keepLines w:val="0"/>
        <w:pageBreakBefore w:val="0"/>
        <w:widowControl w:val="0"/>
        <w:kinsoku/>
        <w:overflowPunct/>
        <w:bidi w:val="0"/>
        <w:adjustRightInd w:val="0"/>
        <w:snapToGrid w:val="0"/>
        <w:spacing w:after="0" w:line="520" w:lineRule="exact"/>
        <w:ind w:left="0" w:leftChars="0" w:right="0" w:firstLine="482" w:firstLineChars="200"/>
        <w:jc w:val="lef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七、包装、运输要求</w:t>
      </w:r>
    </w:p>
    <w:p>
      <w:pPr>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1.乙方按甲方二级学院、专业、班级、学生人数分别包装，并在包装外明确标注：班级、学生姓名、件数等内容；</w:t>
      </w:r>
    </w:p>
    <w:p>
      <w:pPr>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2.送达到甲方指定交货地点后负责发放。</w:t>
      </w:r>
    </w:p>
    <w:p>
      <w:pPr>
        <w:pStyle w:val="12"/>
        <w:keepNext w:val="0"/>
        <w:keepLines w:val="0"/>
        <w:pageBreakBefore w:val="0"/>
        <w:widowControl w:val="0"/>
        <w:kinsoku/>
        <w:overflowPunct/>
        <w:bidi w:val="0"/>
        <w:spacing w:after="0"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服装在运输途中毁损灭失的风险由乙方自行承担。</w:t>
      </w:r>
    </w:p>
    <w:p>
      <w:pPr>
        <w:keepNext w:val="0"/>
        <w:keepLines w:val="0"/>
        <w:pageBreakBefore w:val="0"/>
        <w:widowControl w:val="0"/>
        <w:kinsoku/>
        <w:overflowPunct/>
        <w:bidi w:val="0"/>
        <w:adjustRightInd w:val="0"/>
        <w:snapToGrid w:val="0"/>
        <w:spacing w:line="520" w:lineRule="exact"/>
        <w:ind w:left="0" w:leftChars="0" w:right="0" w:firstLine="482" w:firstLineChars="200"/>
        <w:jc w:val="lef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八、售后服务及要求</w:t>
      </w:r>
    </w:p>
    <w:p>
      <w:pPr>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bCs/>
          <w:sz w:val="24"/>
          <w:szCs w:val="24"/>
        </w:rPr>
        <w:t>1.乙方</w:t>
      </w:r>
      <w:r>
        <w:rPr>
          <w:rFonts w:hint="eastAsia" w:ascii="宋体" w:hAnsi="宋体" w:eastAsia="宋体" w:cs="宋体"/>
          <w:sz w:val="24"/>
          <w:szCs w:val="24"/>
        </w:rPr>
        <w:t>指派专人负责与甲方联系售后服务事宜，</w:t>
      </w:r>
      <w:r>
        <w:rPr>
          <w:rFonts w:hint="eastAsia" w:ascii="宋体" w:hAnsi="宋体" w:eastAsia="宋体" w:cs="宋体"/>
          <w:bCs/>
          <w:sz w:val="24"/>
          <w:szCs w:val="24"/>
        </w:rPr>
        <w:t>乙方</w:t>
      </w:r>
      <w:r>
        <w:rPr>
          <w:rFonts w:hint="eastAsia" w:ascii="宋体" w:hAnsi="宋体" w:eastAsia="宋体" w:cs="宋体"/>
          <w:sz w:val="24"/>
          <w:szCs w:val="24"/>
        </w:rPr>
        <w:t>的售后服务联系人</w:t>
      </w:r>
      <w:r>
        <w:rPr>
          <w:rFonts w:hint="eastAsia" w:ascii="宋体" w:hAnsi="宋体" w:eastAsia="宋体" w:cs="宋体"/>
          <w:sz w:val="24"/>
          <w:szCs w:val="24"/>
          <w:u w:val="single"/>
        </w:rPr>
        <w:t xml:space="preserve">     </w:t>
      </w:r>
      <w:r>
        <w:rPr>
          <w:rFonts w:hint="eastAsia" w:ascii="宋体" w:hAnsi="宋体" w:eastAsia="宋体" w:cs="宋体"/>
          <w:sz w:val="24"/>
          <w:szCs w:val="24"/>
        </w:rPr>
        <w:t>、售后服务电话</w:t>
      </w:r>
      <w:r>
        <w:rPr>
          <w:rFonts w:hint="eastAsia" w:ascii="宋体" w:hAnsi="宋体" w:eastAsia="宋体" w:cs="宋体"/>
          <w:sz w:val="24"/>
          <w:szCs w:val="24"/>
          <w:u w:val="single"/>
        </w:rPr>
        <w:t xml:space="preserve">       </w:t>
      </w:r>
      <w:r>
        <w:rPr>
          <w:rFonts w:hint="eastAsia" w:ascii="宋体" w:hAnsi="宋体" w:eastAsia="宋体" w:cs="宋体"/>
          <w:sz w:val="24"/>
          <w:szCs w:val="24"/>
        </w:rPr>
        <w:t>、投诉电话</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pPr>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2.</w:t>
      </w:r>
      <w:r>
        <w:rPr>
          <w:rFonts w:hint="eastAsia" w:ascii="宋体" w:hAnsi="宋体" w:eastAsia="宋体" w:cs="宋体"/>
          <w:sz w:val="24"/>
          <w:szCs w:val="24"/>
        </w:rPr>
        <w:t>甲方对该项目的数量有增减变动时，乙方应负责配合甲方调剂</w:t>
      </w:r>
      <w:r>
        <w:rPr>
          <w:rFonts w:hint="eastAsia" w:ascii="宋体" w:hAnsi="宋体" w:eastAsia="宋体" w:cs="宋体"/>
          <w:bCs/>
          <w:sz w:val="24"/>
          <w:szCs w:val="24"/>
        </w:rPr>
        <w:t>。</w:t>
      </w:r>
    </w:p>
    <w:p>
      <w:pPr>
        <w:keepNext w:val="0"/>
        <w:keepLines w:val="0"/>
        <w:pageBreakBefore w:val="0"/>
        <w:widowControl w:val="0"/>
        <w:kinsoku/>
        <w:overflowPunct/>
        <w:bidi w:val="0"/>
        <w:spacing w:line="520" w:lineRule="exact"/>
        <w:ind w:left="0" w:leftChars="0" w:right="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3.售后服务期内非人为因素造成服装破损、褪色或学生皮肤不适等情况，乙方在接到甲方通知后</w:t>
      </w:r>
      <w:r>
        <w:rPr>
          <w:rFonts w:hint="eastAsia" w:ascii="宋体" w:hAnsi="宋体" w:eastAsia="宋体" w:cs="宋体"/>
          <w:sz w:val="24"/>
          <w:szCs w:val="24"/>
          <w:lang w:val="en-US" w:eastAsia="zh-CN"/>
        </w:rPr>
        <w:t>7个日历天</w:t>
      </w:r>
      <w:r>
        <w:rPr>
          <w:rFonts w:hint="eastAsia" w:ascii="宋体" w:hAnsi="宋体" w:eastAsia="宋体" w:cs="宋体"/>
          <w:sz w:val="24"/>
          <w:szCs w:val="24"/>
        </w:rPr>
        <w:t>内完成免费更换或修补。</w:t>
      </w:r>
    </w:p>
    <w:p>
      <w:pPr>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bCs/>
          <w:sz w:val="24"/>
          <w:szCs w:val="24"/>
        </w:rPr>
      </w:pPr>
      <w:r>
        <w:rPr>
          <w:rFonts w:hint="eastAsia" w:ascii="宋体" w:hAnsi="宋体" w:eastAsia="宋体" w:cs="宋体"/>
          <w:sz w:val="24"/>
          <w:szCs w:val="24"/>
        </w:rPr>
        <w:t>4.乙方应按甲方的要求及时追加提供各种型号的服装和特殊尺寸的服装。</w:t>
      </w:r>
    </w:p>
    <w:p>
      <w:pPr>
        <w:keepNext w:val="0"/>
        <w:keepLines w:val="0"/>
        <w:pageBreakBefore w:val="0"/>
        <w:widowControl w:val="0"/>
        <w:kinsoku/>
        <w:overflowPunct/>
        <w:bidi w:val="0"/>
        <w:spacing w:line="520" w:lineRule="exact"/>
        <w:ind w:left="0" w:leftChars="0" w:right="0" w:firstLine="482" w:firstLineChars="200"/>
        <w:textAlignment w:val="auto"/>
        <w:outlineLvl w:val="9"/>
        <w:rPr>
          <w:rFonts w:hint="eastAsia" w:ascii="宋体" w:hAnsi="宋体" w:eastAsia="宋体" w:cs="宋体"/>
          <w:sz w:val="24"/>
          <w:szCs w:val="24"/>
        </w:rPr>
      </w:pPr>
      <w:r>
        <w:rPr>
          <w:rFonts w:hint="eastAsia" w:ascii="宋体" w:hAnsi="宋体" w:eastAsia="宋体" w:cs="宋体"/>
          <w:b/>
          <w:bCs/>
          <w:sz w:val="24"/>
          <w:szCs w:val="24"/>
        </w:rPr>
        <w:t>九、保险要求</w:t>
      </w:r>
    </w:p>
    <w:p>
      <w:pPr>
        <w:keepNext w:val="0"/>
        <w:keepLines w:val="0"/>
        <w:pageBreakBefore w:val="0"/>
        <w:widowControl w:val="0"/>
        <w:kinsoku/>
        <w:overflowPunct/>
        <w:bidi w:val="0"/>
        <w:adjustRightInd w:val="0"/>
        <w:snapToGrid w:val="0"/>
        <w:spacing w:before="0" w:after="0" w:line="520" w:lineRule="exact"/>
        <w:ind w:left="0" w:leftChars="0" w:right="0" w:firstLine="480" w:firstLineChars="200"/>
        <w:jc w:val="left"/>
        <w:textAlignment w:val="auto"/>
        <w:outlineLvl w:val="9"/>
        <w:rPr>
          <w:rFonts w:hint="eastAsia" w:ascii="宋体" w:hAnsi="宋体" w:eastAsia="宋体" w:cs="宋体"/>
          <w:b w:val="0"/>
          <w:sz w:val="24"/>
          <w:szCs w:val="24"/>
        </w:rPr>
      </w:pPr>
      <w:r>
        <w:rPr>
          <w:rFonts w:hint="eastAsia" w:ascii="宋体" w:hAnsi="宋体" w:eastAsia="宋体" w:cs="宋体"/>
          <w:b w:val="0"/>
          <w:bCs w:val="0"/>
          <w:sz w:val="24"/>
          <w:szCs w:val="24"/>
        </w:rPr>
        <w:t>乙方为项目配置的工作人员在工作期间必须购买劳动法规定的各项保险。</w:t>
      </w:r>
    </w:p>
    <w:p>
      <w:pPr>
        <w:keepNext w:val="0"/>
        <w:keepLines w:val="0"/>
        <w:pageBreakBefore w:val="0"/>
        <w:widowControl w:val="0"/>
        <w:kinsoku/>
        <w:overflowPunct/>
        <w:bidi w:val="0"/>
        <w:adjustRightInd w:val="0"/>
        <w:snapToGrid w:val="0"/>
        <w:spacing w:before="0" w:after="0" w:line="520" w:lineRule="exact"/>
        <w:ind w:left="0" w:leftChars="0" w:right="0" w:firstLine="482" w:firstLineChars="200"/>
        <w:jc w:val="left"/>
        <w:textAlignment w:val="auto"/>
        <w:outlineLvl w:val="9"/>
        <w:rPr>
          <w:rFonts w:hint="eastAsia" w:ascii="宋体" w:hAnsi="宋体" w:eastAsia="宋体" w:cs="宋体"/>
          <w:bCs/>
          <w:sz w:val="24"/>
          <w:szCs w:val="24"/>
        </w:rPr>
      </w:pPr>
      <w:r>
        <w:rPr>
          <w:rFonts w:hint="eastAsia" w:ascii="宋体" w:hAnsi="宋体" w:eastAsia="宋体" w:cs="宋体"/>
          <w:b/>
          <w:bCs/>
          <w:sz w:val="24"/>
          <w:szCs w:val="24"/>
        </w:rPr>
        <w:t>十、其他商务要求</w:t>
      </w:r>
    </w:p>
    <w:p>
      <w:pPr>
        <w:keepNext w:val="0"/>
        <w:keepLines w:val="0"/>
        <w:pageBreakBefore w:val="0"/>
        <w:widowControl w:val="0"/>
        <w:kinsoku/>
        <w:overflowPunct/>
        <w:bidi w:val="0"/>
        <w:adjustRightInd w:val="0"/>
        <w:snapToGrid w:val="0"/>
        <w:spacing w:before="0" w:after="0" w:line="520" w:lineRule="exact"/>
        <w:ind w:left="0" w:leftChars="0" w:right="0" w:firstLine="480" w:firstLineChars="20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1.乙方按照社会劳动保障部门的有关规定，负责本项目员工聘用、管理、工资、福利、劳保、社保及工伤事故善后处理。</w:t>
      </w:r>
    </w:p>
    <w:p>
      <w:pPr>
        <w:keepNext w:val="0"/>
        <w:keepLines w:val="0"/>
        <w:pageBreakBefore w:val="0"/>
        <w:widowControl w:val="0"/>
        <w:kinsoku/>
        <w:overflowPunct/>
        <w:bidi w:val="0"/>
        <w:adjustRightInd w:val="0"/>
        <w:snapToGrid w:val="0"/>
        <w:spacing w:before="0" w:after="0" w:line="520" w:lineRule="exact"/>
        <w:ind w:left="0" w:leftChars="0" w:right="0" w:firstLine="480" w:firstLineChars="20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2.乙方负责处理与本项目员工发生的劳资纠纷、工伤鉴定、费用垫付、保险理赔等事宜，</w:t>
      </w:r>
      <w:r>
        <w:rPr>
          <w:rFonts w:hint="eastAsia" w:cs="宋体"/>
          <w:b w:val="0"/>
          <w:bCs w:val="0"/>
          <w:color w:val="auto"/>
          <w:sz w:val="24"/>
          <w:szCs w:val="24"/>
          <w:lang w:val="en-US" w:eastAsia="zh-CN"/>
        </w:rPr>
        <w:t>且</w:t>
      </w:r>
      <w:r>
        <w:rPr>
          <w:rFonts w:hint="eastAsia" w:ascii="宋体" w:hAnsi="宋体" w:eastAsia="宋体" w:cs="宋体"/>
          <w:b w:val="0"/>
          <w:bCs w:val="0"/>
          <w:color w:val="auto"/>
          <w:sz w:val="24"/>
          <w:szCs w:val="24"/>
        </w:rPr>
        <w:t>承担相应的法律责任，均与甲方无关。</w:t>
      </w:r>
    </w:p>
    <w:p>
      <w:pPr>
        <w:keepNext w:val="0"/>
        <w:keepLines w:val="0"/>
        <w:pageBreakBefore w:val="0"/>
        <w:widowControl w:val="0"/>
        <w:kinsoku/>
        <w:overflowPunct/>
        <w:bidi w:val="0"/>
        <w:adjustRightInd w:val="0"/>
        <w:snapToGrid w:val="0"/>
        <w:spacing w:before="0" w:after="0" w:line="520" w:lineRule="exact"/>
        <w:ind w:left="0" w:leftChars="0" w:right="0" w:firstLine="480" w:firstLineChars="200"/>
        <w:jc w:val="left"/>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3.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keepNext w:val="0"/>
        <w:keepLines w:val="0"/>
        <w:pageBreakBefore w:val="0"/>
        <w:widowControl w:val="0"/>
        <w:kinsoku/>
        <w:overflowPunct/>
        <w:bidi w:val="0"/>
        <w:adjustRightInd w:val="0"/>
        <w:snapToGrid w:val="0"/>
        <w:spacing w:line="520" w:lineRule="exact"/>
        <w:ind w:left="0" w:leftChars="0" w:right="0"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十一、双方的权利和义务</w:t>
      </w:r>
    </w:p>
    <w:p>
      <w:pPr>
        <w:keepNext w:val="0"/>
        <w:keepLines w:val="0"/>
        <w:pageBreakBefore w:val="0"/>
        <w:widowControl w:val="0"/>
        <w:kinsoku/>
        <w:overflowPunct/>
        <w:bidi w:val="0"/>
        <w:adjustRightInd w:val="0"/>
        <w:snapToGrid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一</w:t>
      </w:r>
      <w:r>
        <w:rPr>
          <w:rFonts w:hint="eastAsia" w:ascii="宋体" w:hAnsi="宋体" w:eastAsia="宋体" w:cs="宋体"/>
          <w:sz w:val="24"/>
          <w:szCs w:val="24"/>
          <w:lang w:eastAsia="zh-CN"/>
        </w:rPr>
        <w:t>)</w:t>
      </w:r>
      <w:r>
        <w:rPr>
          <w:rFonts w:hint="eastAsia" w:ascii="宋体" w:hAnsi="宋体" w:eastAsia="宋体" w:cs="宋体"/>
          <w:sz w:val="24"/>
          <w:szCs w:val="24"/>
        </w:rPr>
        <w:t>甲方的权利和义务</w:t>
      </w:r>
    </w:p>
    <w:p>
      <w:pPr>
        <w:keepNext w:val="0"/>
        <w:keepLines w:val="0"/>
        <w:pageBreakBefore w:val="0"/>
        <w:widowControl w:val="0"/>
        <w:kinsoku/>
        <w:overflowPunct/>
        <w:bidi w:val="0"/>
        <w:adjustRightInd w:val="0"/>
        <w:snapToGrid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1．甲方有权对乙方合同规定范围内的服装质量、服务内容等进行监督和检查，拥有监管权。若甲方认为不合理的部分有权下达整改通知书，乙方收到甲方整改通知书之日起15日历天内完成整改。</w:t>
      </w:r>
    </w:p>
    <w:p>
      <w:pPr>
        <w:keepNext w:val="0"/>
        <w:keepLines w:val="0"/>
        <w:pageBreakBefore w:val="0"/>
        <w:widowControl w:val="0"/>
        <w:kinsoku/>
        <w:overflowPunct/>
        <w:bidi w:val="0"/>
        <w:adjustRightInd w:val="0"/>
        <w:snapToGrid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2．国家法律、法规所规定由甲方承担的其它责任。</w:t>
      </w:r>
    </w:p>
    <w:p>
      <w:pPr>
        <w:keepNext w:val="0"/>
        <w:keepLines w:val="0"/>
        <w:pageBreakBefore w:val="0"/>
        <w:widowControl w:val="0"/>
        <w:kinsoku/>
        <w:overflowPunct/>
        <w:bidi w:val="0"/>
        <w:adjustRightInd w:val="0"/>
        <w:snapToGrid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二</w:t>
      </w:r>
      <w:r>
        <w:rPr>
          <w:rFonts w:hint="eastAsia" w:ascii="宋体" w:hAnsi="宋体" w:eastAsia="宋体" w:cs="宋体"/>
          <w:sz w:val="24"/>
          <w:szCs w:val="24"/>
          <w:lang w:eastAsia="zh-CN"/>
        </w:rPr>
        <w:t>)</w:t>
      </w:r>
      <w:r>
        <w:rPr>
          <w:rFonts w:hint="eastAsia" w:ascii="宋体" w:hAnsi="宋体" w:eastAsia="宋体" w:cs="宋体"/>
          <w:sz w:val="24"/>
          <w:szCs w:val="24"/>
        </w:rPr>
        <w:t>乙方的权利和义务</w:t>
      </w:r>
    </w:p>
    <w:p>
      <w:pPr>
        <w:keepNext w:val="0"/>
        <w:keepLines w:val="0"/>
        <w:pageBreakBefore w:val="0"/>
        <w:widowControl w:val="0"/>
        <w:kinsoku/>
        <w:overflowPunct/>
        <w:bidi w:val="0"/>
        <w:spacing w:line="520" w:lineRule="exact"/>
        <w:ind w:left="0" w:leftChars="0" w:right="0" w:firstLine="480" w:firstLineChars="200"/>
        <w:contextualSpacing/>
        <w:jc w:val="left"/>
        <w:textAlignment w:val="auto"/>
        <w:outlineLvl w:val="9"/>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1.乙方须严格按照甲方招标文件、乙方投标文件、合同约定、承诺履约。</w:t>
      </w:r>
    </w:p>
    <w:p>
      <w:pPr>
        <w:keepNext w:val="0"/>
        <w:keepLines w:val="0"/>
        <w:pageBreakBefore w:val="0"/>
        <w:widowControl w:val="0"/>
        <w:kinsoku/>
        <w:overflowPunct/>
        <w:bidi w:val="0"/>
        <w:spacing w:line="520" w:lineRule="exact"/>
        <w:ind w:left="0" w:leftChars="0" w:right="0" w:firstLine="480" w:firstLineChars="200"/>
        <w:contextualSpacing/>
        <w:jc w:val="left"/>
        <w:textAlignment w:val="auto"/>
        <w:outlineLvl w:val="9"/>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2.乙方应积极配合甲方完成调货、换货，按时、按质、按量配送服装。</w:t>
      </w:r>
    </w:p>
    <w:p>
      <w:pPr>
        <w:keepNext w:val="0"/>
        <w:keepLines w:val="0"/>
        <w:pageBreakBefore w:val="0"/>
        <w:widowControl w:val="0"/>
        <w:kinsoku/>
        <w:overflowPunct/>
        <w:bidi w:val="0"/>
        <w:spacing w:line="520" w:lineRule="exact"/>
        <w:ind w:left="0" w:leftChars="0" w:right="0" w:firstLine="480" w:firstLineChars="200"/>
        <w:contextualSpacing/>
        <w:jc w:val="left"/>
        <w:textAlignment w:val="auto"/>
        <w:outlineLvl w:val="9"/>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3.甲方如有紧急配送需求时，乙方应积极配合供货，并按时、按质、按量配送服装。</w:t>
      </w:r>
    </w:p>
    <w:p>
      <w:pPr>
        <w:keepNext w:val="0"/>
        <w:keepLines w:val="0"/>
        <w:pageBreakBefore w:val="0"/>
        <w:widowControl w:val="0"/>
        <w:kinsoku/>
        <w:overflowPunct/>
        <w:bidi w:val="0"/>
        <w:spacing w:line="520" w:lineRule="exact"/>
        <w:ind w:left="0" w:leftChars="0" w:right="0" w:firstLine="480" w:firstLineChars="200"/>
        <w:contextualSpacing/>
        <w:jc w:val="left"/>
        <w:textAlignment w:val="auto"/>
        <w:outlineLvl w:val="9"/>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4.乙方必须严格按本合同约定的</w:t>
      </w:r>
      <w:r>
        <w:rPr>
          <w:rFonts w:hint="eastAsia" w:cs="宋体"/>
          <w:bCs w:val="0"/>
          <w:color w:val="auto"/>
          <w:sz w:val="24"/>
          <w:szCs w:val="24"/>
          <w:lang w:val="en-US" w:eastAsia="zh-CN"/>
        </w:rPr>
        <w:t>中标</w:t>
      </w:r>
      <w:r>
        <w:rPr>
          <w:rFonts w:hint="eastAsia" w:ascii="宋体" w:hAnsi="宋体" w:eastAsia="宋体" w:cs="宋体"/>
          <w:bCs w:val="0"/>
          <w:color w:val="auto"/>
          <w:sz w:val="24"/>
          <w:szCs w:val="24"/>
        </w:rPr>
        <w:t>单价收取学生费用，不得擅自调高费用。</w:t>
      </w:r>
    </w:p>
    <w:p>
      <w:pPr>
        <w:keepNext w:val="0"/>
        <w:keepLines w:val="0"/>
        <w:pageBreakBefore w:val="0"/>
        <w:widowControl w:val="0"/>
        <w:kinsoku/>
        <w:overflowPunct/>
        <w:bidi w:val="0"/>
        <w:spacing w:line="520" w:lineRule="exact"/>
        <w:ind w:left="0" w:leftChars="0" w:right="0" w:firstLine="480" w:firstLineChars="200"/>
        <w:contextualSpacing/>
        <w:jc w:val="left"/>
        <w:textAlignment w:val="auto"/>
        <w:outlineLvl w:val="9"/>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5.履行本合同的全部安全责任均由乙方承担，甲方对此不承担任何责任。</w:t>
      </w:r>
    </w:p>
    <w:p>
      <w:pPr>
        <w:keepNext w:val="0"/>
        <w:keepLines w:val="0"/>
        <w:pageBreakBefore w:val="0"/>
        <w:widowControl w:val="0"/>
        <w:kinsoku/>
        <w:overflowPunct/>
        <w:bidi w:val="0"/>
        <w:spacing w:line="520" w:lineRule="exact"/>
        <w:ind w:left="0" w:leftChars="0" w:right="0" w:firstLine="480" w:firstLineChars="200"/>
        <w:contextualSpacing/>
        <w:jc w:val="left"/>
        <w:textAlignment w:val="auto"/>
        <w:outlineLvl w:val="9"/>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6.乙方应及时向甲方通告本项目重大事项进展情况，及时配合处理投诉。</w:t>
      </w:r>
    </w:p>
    <w:p>
      <w:pPr>
        <w:keepNext w:val="0"/>
        <w:keepLines w:val="0"/>
        <w:pageBreakBefore w:val="0"/>
        <w:widowControl w:val="0"/>
        <w:kinsoku/>
        <w:overflowPunct/>
        <w:bidi w:val="0"/>
        <w:spacing w:line="520" w:lineRule="exact"/>
        <w:ind w:left="0" w:leftChars="0" w:right="0" w:firstLine="480" w:firstLineChars="200"/>
        <w:contextualSpacing/>
        <w:jc w:val="left"/>
        <w:textAlignment w:val="auto"/>
        <w:outlineLvl w:val="9"/>
        <w:rPr>
          <w:rFonts w:hint="eastAsia" w:ascii="宋体" w:hAnsi="宋体" w:eastAsia="宋体" w:cs="宋体"/>
          <w:bCs w:val="0"/>
          <w:color w:val="auto"/>
          <w:sz w:val="24"/>
          <w:szCs w:val="24"/>
        </w:rPr>
      </w:pPr>
      <w:r>
        <w:rPr>
          <w:rFonts w:hint="eastAsia" w:ascii="宋体" w:hAnsi="宋体" w:eastAsia="宋体" w:cs="宋体"/>
          <w:bCs w:val="0"/>
          <w:color w:val="auto"/>
          <w:sz w:val="24"/>
          <w:szCs w:val="24"/>
        </w:rPr>
        <w:t>7.乙方应接受项目行业管理部门及政府有关部门的指导，接受甲方的监督。</w:t>
      </w:r>
    </w:p>
    <w:p>
      <w:pPr>
        <w:keepNext w:val="0"/>
        <w:keepLines w:val="0"/>
        <w:pageBreakBefore w:val="0"/>
        <w:widowControl w:val="0"/>
        <w:kinsoku/>
        <w:overflowPunct/>
        <w:bidi w:val="0"/>
        <w:spacing w:line="520" w:lineRule="exact"/>
        <w:ind w:left="0" w:leftChars="0" w:right="0" w:firstLine="480" w:firstLineChars="200"/>
        <w:contextualSpacing/>
        <w:jc w:val="left"/>
        <w:textAlignment w:val="auto"/>
        <w:outlineLvl w:val="9"/>
        <w:rPr>
          <w:rFonts w:hint="eastAsia" w:ascii="宋体" w:hAnsi="宋体" w:eastAsia="宋体" w:cs="宋体"/>
          <w:sz w:val="24"/>
          <w:szCs w:val="24"/>
        </w:rPr>
      </w:pPr>
      <w:r>
        <w:rPr>
          <w:rFonts w:hint="eastAsia" w:ascii="宋体" w:hAnsi="宋体" w:eastAsia="宋体" w:cs="宋体"/>
          <w:bCs w:val="0"/>
          <w:color w:val="auto"/>
          <w:sz w:val="24"/>
          <w:szCs w:val="24"/>
        </w:rPr>
        <w:t>8.国家法律、法规所规定由乙方承担的其它责任。</w:t>
      </w:r>
    </w:p>
    <w:p>
      <w:pPr>
        <w:keepNext w:val="0"/>
        <w:keepLines w:val="0"/>
        <w:pageBreakBefore w:val="0"/>
        <w:widowControl w:val="0"/>
        <w:kinsoku/>
        <w:overflowPunct/>
        <w:bidi w:val="0"/>
        <w:adjustRightInd w:val="0"/>
        <w:snapToGrid w:val="0"/>
        <w:spacing w:line="520" w:lineRule="exact"/>
        <w:ind w:left="0" w:leftChars="0" w:right="0" w:firstLine="482" w:firstLineChars="200"/>
        <w:jc w:val="left"/>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十二、履约保证金要求</w:t>
      </w:r>
    </w:p>
    <w:p>
      <w:pPr>
        <w:pStyle w:val="31"/>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1.履约保证金为</w:t>
      </w:r>
      <w:r>
        <w:rPr>
          <w:rFonts w:hint="eastAsia" w:ascii="宋体" w:hAnsi="宋体" w:cs="宋体"/>
          <w:sz w:val="24"/>
          <w:szCs w:val="24"/>
          <w:lang w:val="en-US" w:eastAsia="zh-CN"/>
        </w:rPr>
        <w:t>中标</w:t>
      </w:r>
      <w:r>
        <w:rPr>
          <w:rFonts w:hint="eastAsia" w:ascii="宋体" w:hAnsi="宋体" w:eastAsia="宋体" w:cs="宋体"/>
          <w:sz w:val="24"/>
          <w:szCs w:val="24"/>
        </w:rPr>
        <w:t>金额的百分之五，乙方应在中标通知书发出之日起至合同签订前以银行转账、支票、汇票、本票等非现金形式向甲方提交履约保证金。</w:t>
      </w:r>
    </w:p>
    <w:p>
      <w:pPr>
        <w:pStyle w:val="31"/>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2.履行合同约定完毕</w:t>
      </w:r>
      <w:r>
        <w:rPr>
          <w:rFonts w:hint="eastAsia" w:ascii="宋体" w:hAnsi="宋体" w:eastAsia="宋体" w:cs="宋体"/>
          <w:sz w:val="24"/>
          <w:szCs w:val="24"/>
          <w:lang w:eastAsia="zh-CN"/>
        </w:rPr>
        <w:t>(</w:t>
      </w:r>
      <w:r>
        <w:rPr>
          <w:rFonts w:hint="eastAsia" w:ascii="宋体" w:hAnsi="宋体" w:eastAsia="宋体" w:cs="宋体"/>
          <w:sz w:val="24"/>
          <w:szCs w:val="24"/>
        </w:rPr>
        <w:t>含售后服务</w:t>
      </w:r>
      <w:r>
        <w:rPr>
          <w:rFonts w:hint="eastAsia" w:ascii="宋体" w:hAnsi="宋体" w:eastAsia="宋体" w:cs="宋体"/>
          <w:sz w:val="24"/>
          <w:szCs w:val="24"/>
          <w:lang w:eastAsia="zh-CN"/>
        </w:rPr>
        <w:t>)</w:t>
      </w:r>
      <w:r>
        <w:rPr>
          <w:rFonts w:hint="eastAsia" w:ascii="宋体" w:hAnsi="宋体" w:eastAsia="宋体" w:cs="宋体"/>
          <w:sz w:val="24"/>
          <w:szCs w:val="24"/>
        </w:rPr>
        <w:t>，且验收合格后，甲方在收到乙方提交的“履约保证金的收据”、“履约保证金退还申请”等书面资料并审核通过后10个日历天内无息退还乙方应退部分履约保证金。因甲方原因逾期退还的，应当以未退还金额为基数，按合同订立时1年期贷款市场报价利率标准向乙方支付相应违约金，但违约金最高不得超过未退还金额的百分之十。若因乙方不及时或未提供“履约保证金的收据”、“履约保证金退还申请”的，则甲方不承担逾期退还违约责任。</w:t>
      </w:r>
    </w:p>
    <w:p>
      <w:pPr>
        <w:pStyle w:val="31"/>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3.履约保证金汇入的银行及账号：</w:t>
      </w:r>
    </w:p>
    <w:p>
      <w:pPr>
        <w:pStyle w:val="31"/>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收款账号：成都市技师学院</w:t>
      </w:r>
    </w:p>
    <w:p>
      <w:pPr>
        <w:pStyle w:val="31"/>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rPr>
        <w:t>开户行：</w:t>
      </w:r>
      <w:r>
        <w:rPr>
          <w:rFonts w:hint="eastAsia" w:ascii="宋体" w:hAnsi="宋体" w:eastAsia="宋体" w:cs="宋体"/>
          <w:sz w:val="24"/>
          <w:szCs w:val="24"/>
          <w:highlight w:val="none"/>
        </w:rPr>
        <w:t>工行四川成都分行郫都红光支行</w:t>
      </w:r>
    </w:p>
    <w:p>
      <w:pPr>
        <w:pStyle w:val="31"/>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银行账号：4402054609100031151</w:t>
      </w:r>
    </w:p>
    <w:p>
      <w:pPr>
        <w:pStyle w:val="31"/>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b/>
          <w:bCs/>
          <w:sz w:val="24"/>
          <w:szCs w:val="24"/>
        </w:rPr>
      </w:pPr>
      <w:r>
        <w:rPr>
          <w:rFonts w:hint="eastAsia" w:ascii="宋体" w:hAnsi="宋体" w:eastAsia="宋体" w:cs="宋体"/>
          <w:sz w:val="24"/>
          <w:szCs w:val="24"/>
        </w:rPr>
        <w:t>4.履约保证金不予退还情形：一是乙方未按合同要求履行的，其履约保证金全部扣除；二是乙方缴纳了履约保证金，但因自身原因被取消</w:t>
      </w:r>
      <w:r>
        <w:rPr>
          <w:rFonts w:hint="eastAsia" w:ascii="宋体" w:hAnsi="宋体" w:cs="宋体"/>
          <w:sz w:val="24"/>
          <w:szCs w:val="24"/>
          <w:lang w:val="en-US" w:eastAsia="zh-CN"/>
        </w:rPr>
        <w:t>中标</w:t>
      </w:r>
      <w:r>
        <w:rPr>
          <w:rFonts w:hint="eastAsia" w:ascii="宋体" w:hAnsi="宋体" w:eastAsia="宋体" w:cs="宋体"/>
          <w:sz w:val="24"/>
          <w:szCs w:val="24"/>
        </w:rPr>
        <w:t>资格或在</w:t>
      </w:r>
      <w:r>
        <w:rPr>
          <w:rFonts w:hint="eastAsia" w:ascii="宋体" w:hAnsi="宋体" w:cs="宋体"/>
          <w:sz w:val="24"/>
          <w:szCs w:val="24"/>
          <w:lang w:val="en-US" w:eastAsia="zh-CN"/>
        </w:rPr>
        <w:t>中标</w:t>
      </w:r>
      <w:r>
        <w:rPr>
          <w:rFonts w:hint="eastAsia" w:ascii="宋体" w:hAnsi="宋体" w:eastAsia="宋体" w:cs="宋体"/>
          <w:sz w:val="24"/>
          <w:szCs w:val="24"/>
        </w:rPr>
        <w:t>公示期满之日起30个日历天(含法定节假日)内不按招标文件确定的事项与甲方签订合同的，其履约保证金不予退还；三是法律法规或合同约定的其它情形。</w:t>
      </w:r>
    </w:p>
    <w:p>
      <w:pPr>
        <w:keepNext w:val="0"/>
        <w:keepLines w:val="0"/>
        <w:pageBreakBefore w:val="0"/>
        <w:widowControl w:val="0"/>
        <w:kinsoku/>
        <w:overflowPunct/>
        <w:bidi w:val="0"/>
        <w:adjustRightInd w:val="0"/>
        <w:snapToGrid w:val="0"/>
        <w:spacing w:line="520" w:lineRule="exact"/>
        <w:ind w:left="0" w:leftChars="0" w:right="0"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十三、验收、交付标准和方法</w:t>
      </w:r>
    </w:p>
    <w:p>
      <w:pPr>
        <w:pStyle w:val="12"/>
        <w:keepNext w:val="0"/>
        <w:keepLines w:val="0"/>
        <w:pageBreakBefore w:val="0"/>
        <w:widowControl w:val="0"/>
        <w:kinsoku/>
        <w:overflowPunct/>
        <w:bidi w:val="0"/>
        <w:adjustRightInd w:val="0"/>
        <w:snapToGrid w:val="0"/>
        <w:spacing w:after="0" w:line="520" w:lineRule="exact"/>
        <w:ind w:left="0" w:leftChars="0" w:right="0" w:firstLine="480" w:firstLineChars="200"/>
        <w:textAlignment w:val="auto"/>
        <w:outlineLvl w:val="9"/>
        <w:rPr>
          <w:rFonts w:hint="eastAsia" w:ascii="宋体" w:hAnsi="宋体" w:eastAsia="宋体" w:cs="宋体"/>
          <w:sz w:val="24"/>
          <w:szCs w:val="24"/>
        </w:rPr>
      </w:pPr>
      <w:bookmarkStart w:id="1319" w:name="_Toc28941"/>
      <w:r>
        <w:rPr>
          <w:rFonts w:hint="eastAsia" w:ascii="宋体" w:hAnsi="宋体" w:eastAsia="宋体" w:cs="宋体"/>
          <w:sz w:val="24"/>
          <w:szCs w:val="24"/>
        </w:rPr>
        <w:t>1.验收主体：甲方</w:t>
      </w:r>
    </w:p>
    <w:p>
      <w:pPr>
        <w:pStyle w:val="79"/>
        <w:keepNext w:val="0"/>
        <w:keepLines w:val="0"/>
        <w:pageBreakBefore w:val="0"/>
        <w:widowControl w:val="0"/>
        <w:tabs>
          <w:tab w:val="left" w:pos="965"/>
        </w:tabs>
        <w:kinsoku/>
        <w:overflowPunct/>
        <w:autoSpaceDE w:val="0"/>
        <w:autoSpaceDN w:val="0"/>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2.验收方式：</w:t>
      </w:r>
    </w:p>
    <w:p>
      <w:pPr>
        <w:pStyle w:val="79"/>
        <w:keepNext w:val="0"/>
        <w:keepLines w:val="0"/>
        <w:pageBreakBefore w:val="0"/>
        <w:widowControl w:val="0"/>
        <w:tabs>
          <w:tab w:val="left" w:pos="965"/>
        </w:tabs>
        <w:kinsoku/>
        <w:overflowPunct/>
        <w:autoSpaceDE w:val="0"/>
        <w:autoSpaceDN w:val="0"/>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服装验收为现场核查验收。</w:t>
      </w:r>
    </w:p>
    <w:p>
      <w:pPr>
        <w:pStyle w:val="79"/>
        <w:keepNext w:val="0"/>
        <w:keepLines w:val="0"/>
        <w:pageBreakBefore w:val="0"/>
        <w:widowControl w:val="0"/>
        <w:tabs>
          <w:tab w:val="left" w:pos="965"/>
        </w:tabs>
        <w:kinsoku/>
        <w:overflowPunct/>
        <w:autoSpaceDE w:val="0"/>
        <w:autoSpaceDN w:val="0"/>
        <w:bidi w:val="0"/>
        <w:spacing w:line="520" w:lineRule="exact"/>
        <w:ind w:left="0" w:leftChars="0" w:right="0" w:firstLine="480" w:firstLineChars="200"/>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售后服务验收为考核验收</w:t>
      </w:r>
      <w:r>
        <w:rPr>
          <w:rFonts w:hint="eastAsia" w:ascii="宋体" w:hAnsi="宋体" w:eastAsia="宋体" w:cs="宋体"/>
          <w:sz w:val="24"/>
          <w:szCs w:val="24"/>
          <w:lang w:eastAsia="zh-CN"/>
        </w:rPr>
        <w:t>(</w:t>
      </w:r>
      <w:r>
        <w:rPr>
          <w:rFonts w:hint="eastAsia" w:ascii="宋体" w:hAnsi="宋体" w:eastAsia="宋体" w:cs="宋体"/>
          <w:sz w:val="24"/>
          <w:szCs w:val="24"/>
        </w:rPr>
        <w:t>乙方每次按照售后服务要求提供服务的视为单次售后服务合格，售后服务期内售后服务合格率[合格的售后服务次数/售后服务总次数]低于百分之八十视为售后服务不合格</w:t>
      </w:r>
      <w:r>
        <w:rPr>
          <w:rFonts w:hint="eastAsia" w:ascii="宋体" w:hAnsi="宋体" w:eastAsia="宋体" w:cs="宋体"/>
          <w:sz w:val="24"/>
          <w:szCs w:val="24"/>
          <w:lang w:eastAsia="zh-CN"/>
        </w:rPr>
        <w:t>)</w:t>
      </w:r>
    </w:p>
    <w:p>
      <w:pPr>
        <w:pStyle w:val="79"/>
        <w:keepNext w:val="0"/>
        <w:keepLines w:val="0"/>
        <w:pageBreakBefore w:val="0"/>
        <w:widowControl w:val="0"/>
        <w:tabs>
          <w:tab w:val="left" w:pos="965"/>
        </w:tabs>
        <w:kinsoku/>
        <w:overflowPunct/>
        <w:autoSpaceDE w:val="0"/>
        <w:autoSpaceDN w:val="0"/>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3.验收时间及验收程序：</w:t>
      </w:r>
    </w:p>
    <w:p>
      <w:pPr>
        <w:pStyle w:val="79"/>
        <w:keepNext w:val="0"/>
        <w:keepLines w:val="0"/>
        <w:pageBreakBefore w:val="0"/>
        <w:widowControl w:val="0"/>
        <w:tabs>
          <w:tab w:val="left" w:pos="965"/>
        </w:tabs>
        <w:kinsoku/>
        <w:overflowPunct/>
        <w:autoSpaceDE w:val="0"/>
        <w:autoSpaceDN w:val="0"/>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服装送达甲方指定地点后，甲方进行现场核查验收。验收合格，甲方签署《验收合格报告单》。若验收不合格，乙方应在接到甲方整改通知之日起15个日历天内完成整改，再由甲方组织重新验收，若乙方未在约定时间完成整改或整改后再次验收不合格则视为乙方不能履约，甲方有权终止合同，并按合同第十八条第2款第2.2项约定追究乙方的违约责任。</w:t>
      </w:r>
    </w:p>
    <w:p>
      <w:pPr>
        <w:pStyle w:val="79"/>
        <w:keepNext w:val="0"/>
        <w:keepLines w:val="0"/>
        <w:pageBreakBefore w:val="0"/>
        <w:widowControl w:val="0"/>
        <w:tabs>
          <w:tab w:val="left" w:pos="965"/>
        </w:tabs>
        <w:kinsoku/>
        <w:overflowPunct/>
        <w:autoSpaceDE w:val="0"/>
        <w:autoSpaceDN w:val="0"/>
        <w:bidi w:val="0"/>
        <w:spacing w:line="520" w:lineRule="exact"/>
        <w:ind w:left="0" w:leftChars="0" w:right="0"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单次售后服务完成后，由甲方的经办人现场验收并记录，该记录作为售后服务整体验收的依据。售后服务期结束，乙方书面通知甲方进行售后服务整体验收；验收合格，则签署《售后服务验收合格报告单》；若售后服务验收不合格，甲方有权按合同第十八条</w:t>
      </w:r>
      <w:r>
        <w:rPr>
          <w:rFonts w:hint="eastAsia" w:ascii="宋体" w:hAnsi="宋体" w:eastAsia="宋体" w:cs="宋体"/>
          <w:sz w:val="24"/>
          <w:szCs w:val="24"/>
          <w:highlight w:val="none"/>
        </w:rPr>
        <w:t>第2款第2.5项约定追究乙方的违约责任。</w:t>
      </w:r>
    </w:p>
    <w:p>
      <w:pPr>
        <w:pStyle w:val="79"/>
        <w:keepNext w:val="0"/>
        <w:keepLines w:val="0"/>
        <w:pageBreakBefore w:val="0"/>
        <w:widowControl w:val="0"/>
        <w:tabs>
          <w:tab w:val="left" w:pos="965"/>
        </w:tabs>
        <w:kinsoku/>
        <w:overflowPunct/>
        <w:autoSpaceDE w:val="0"/>
        <w:autoSpaceDN w:val="0"/>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4.验收内容：</w:t>
      </w:r>
    </w:p>
    <w:p>
      <w:pPr>
        <w:pStyle w:val="79"/>
        <w:keepNext w:val="0"/>
        <w:keepLines w:val="0"/>
        <w:pageBreakBefore w:val="0"/>
        <w:widowControl w:val="0"/>
        <w:tabs>
          <w:tab w:val="left" w:pos="965"/>
        </w:tabs>
        <w:kinsoku/>
        <w:overflowPunct/>
        <w:autoSpaceDE w:val="0"/>
        <w:autoSpaceDN w:val="0"/>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服装验收内容包括每一项技术参数和商务要求</w:t>
      </w:r>
      <w:r>
        <w:rPr>
          <w:rFonts w:hint="eastAsia" w:ascii="宋体" w:hAnsi="宋体" w:eastAsia="宋体" w:cs="宋体"/>
          <w:sz w:val="24"/>
          <w:szCs w:val="24"/>
          <w:lang w:eastAsia="zh-CN"/>
        </w:rPr>
        <w:t>(</w:t>
      </w:r>
      <w:r>
        <w:rPr>
          <w:rFonts w:hint="eastAsia" w:ascii="宋体" w:hAnsi="宋体" w:eastAsia="宋体" w:cs="宋体"/>
          <w:sz w:val="24"/>
          <w:szCs w:val="24"/>
        </w:rPr>
        <w:t>售后服务除外</w:t>
      </w:r>
      <w:r>
        <w:rPr>
          <w:rFonts w:hint="eastAsia" w:ascii="宋体" w:hAnsi="宋体" w:eastAsia="宋体" w:cs="宋体"/>
          <w:sz w:val="24"/>
          <w:szCs w:val="24"/>
          <w:lang w:eastAsia="zh-CN"/>
        </w:rPr>
        <w:t>)</w:t>
      </w:r>
      <w:r>
        <w:rPr>
          <w:rFonts w:hint="eastAsia" w:ascii="宋体" w:hAnsi="宋体" w:eastAsia="宋体" w:cs="宋体"/>
          <w:sz w:val="24"/>
          <w:szCs w:val="24"/>
        </w:rPr>
        <w:t>的履约情况。</w:t>
      </w:r>
    </w:p>
    <w:p>
      <w:pPr>
        <w:pStyle w:val="79"/>
        <w:keepNext w:val="0"/>
        <w:keepLines w:val="0"/>
        <w:pageBreakBefore w:val="0"/>
        <w:widowControl w:val="0"/>
        <w:tabs>
          <w:tab w:val="left" w:pos="965"/>
        </w:tabs>
        <w:kinsoku/>
        <w:overflowPunct/>
        <w:autoSpaceDE w:val="0"/>
        <w:autoSpaceDN w:val="0"/>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售后服务验收内容包括售后服务要求中每一项要求的履约情况。</w:t>
      </w:r>
    </w:p>
    <w:p>
      <w:pPr>
        <w:pStyle w:val="79"/>
        <w:keepNext w:val="0"/>
        <w:keepLines w:val="0"/>
        <w:pageBreakBefore w:val="0"/>
        <w:widowControl w:val="0"/>
        <w:tabs>
          <w:tab w:val="left" w:pos="965"/>
        </w:tabs>
        <w:kinsoku/>
        <w:overflowPunct/>
        <w:autoSpaceDE w:val="0"/>
        <w:autoSpaceDN w:val="0"/>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5.验收标准：按甲方招标文件的质量要求和技术指标、乙方的投标文件及承诺与本合同约定标准进行验收；其他未尽事宜应参照《财政部关于进一步加强政府采购需求和履约验收管理的指导意见》(财库〔2016〕205号)、《政府采购需求管理办法》((财库〔2021〕22号)及招标文件相关规定组织验收。</w:t>
      </w:r>
    </w:p>
    <w:p>
      <w:pPr>
        <w:keepNext w:val="0"/>
        <w:keepLines w:val="0"/>
        <w:pageBreakBefore w:val="0"/>
        <w:widowControl w:val="0"/>
        <w:kinsoku/>
        <w:overflowPunct/>
        <w:bidi w:val="0"/>
        <w:adjustRightInd w:val="0"/>
        <w:snapToGrid w:val="0"/>
        <w:spacing w:line="520" w:lineRule="exact"/>
        <w:ind w:left="0" w:leftChars="0" w:right="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6.交付标准和方法：乙方将服装、及装箱清单等交付给甲方；且通过甲方验收合格后，视为乙方完成服装交付。</w:t>
      </w:r>
    </w:p>
    <w:p>
      <w:pPr>
        <w:keepNext w:val="0"/>
        <w:keepLines w:val="0"/>
        <w:pageBreakBefore w:val="0"/>
        <w:widowControl w:val="0"/>
        <w:kinsoku/>
        <w:overflowPunct/>
        <w:bidi w:val="0"/>
        <w:adjustRightInd w:val="0"/>
        <w:snapToGrid w:val="0"/>
        <w:spacing w:line="520" w:lineRule="exact"/>
        <w:ind w:left="0" w:leftChars="0" w:right="0"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十四、解决争议的方法</w:t>
      </w:r>
      <w:bookmarkEnd w:id="1319"/>
    </w:p>
    <w:p>
      <w:pPr>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bookmarkStart w:id="1320" w:name="_Toc12788"/>
      <w:r>
        <w:rPr>
          <w:rFonts w:hint="eastAsia" w:ascii="宋体" w:hAnsi="宋体" w:eastAsia="宋体" w:cs="宋体"/>
          <w:sz w:val="24"/>
          <w:szCs w:val="24"/>
        </w:rPr>
        <w:t>1.因质量问题发生争议，由甲方或其指定的第三方机构进行质量鉴定。质量符合标准的，鉴定费由甲方承担；不符合质量标准的，鉴定费由乙方承担。</w:t>
      </w:r>
    </w:p>
    <w:p>
      <w:pPr>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2.履约期间,若双方发生争议，双方应通过友好协商解决，经协商不能达成协议时，应向甲方所在地人民法院提起诉讼。</w:t>
      </w:r>
      <w:r>
        <w:rPr>
          <w:rFonts w:hint="eastAsia" w:ascii="宋体" w:hAnsi="宋体" w:eastAsia="宋体" w:cs="宋体"/>
          <w:sz w:val="24"/>
          <w:szCs w:val="24"/>
          <w:lang w:val="en-US" w:eastAsia="zh-CN"/>
        </w:rPr>
        <w:t>除判决另有规定外，因涉诉产生的一切合理费用(包括但不限于诉讼费、律师费、保全费等)均由违约方承担。</w:t>
      </w:r>
    </w:p>
    <w:p>
      <w:pPr>
        <w:keepNext w:val="0"/>
        <w:keepLines w:val="0"/>
        <w:pageBreakBefore w:val="0"/>
        <w:widowControl w:val="0"/>
        <w:tabs>
          <w:tab w:val="left" w:pos="315"/>
        </w:tabs>
        <w:kinsoku/>
        <w:overflowPunct/>
        <w:bidi w:val="0"/>
        <w:adjustRightInd w:val="0"/>
        <w:snapToGrid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3.在诉讼期间，除正在进行诉讼的部分外，合同其他部分继续执行。</w:t>
      </w:r>
    </w:p>
    <w:p>
      <w:pPr>
        <w:keepNext w:val="0"/>
        <w:keepLines w:val="0"/>
        <w:pageBreakBefore w:val="0"/>
        <w:widowControl w:val="0"/>
        <w:kinsoku/>
        <w:overflowPunct/>
        <w:bidi w:val="0"/>
        <w:adjustRightInd w:val="0"/>
        <w:snapToGrid w:val="0"/>
        <w:spacing w:line="520" w:lineRule="exact"/>
        <w:ind w:left="0" w:leftChars="0" w:right="0"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十五、知识产权</w:t>
      </w:r>
      <w:bookmarkEnd w:id="1320"/>
    </w:p>
    <w:p>
      <w:pPr>
        <w:keepNext w:val="0"/>
        <w:keepLines w:val="0"/>
        <w:pageBreakBefore w:val="0"/>
        <w:widowControl w:val="0"/>
        <w:kinsoku/>
        <w:overflowPunct/>
        <w:bidi w:val="0"/>
        <w:spacing w:line="520" w:lineRule="exact"/>
        <w:ind w:left="0" w:leftChars="0" w:right="0" w:firstLine="480" w:firstLineChars="200"/>
        <w:jc w:val="left"/>
        <w:textAlignment w:val="auto"/>
        <w:outlineLvl w:val="9"/>
        <w:rPr>
          <w:rFonts w:hint="eastAsia" w:ascii="宋体" w:hAnsi="宋体" w:eastAsia="宋体" w:cs="宋体"/>
          <w:sz w:val="24"/>
          <w:szCs w:val="24"/>
          <w:lang w:val="zh-CN"/>
        </w:rPr>
      </w:pPr>
      <w:bookmarkStart w:id="1321" w:name="_Toc28329"/>
      <w:r>
        <w:rPr>
          <w:rFonts w:hint="eastAsia" w:ascii="宋体" w:hAnsi="宋体" w:eastAsia="宋体" w:cs="宋体"/>
          <w:sz w:val="24"/>
          <w:szCs w:val="24"/>
        </w:rPr>
        <w:t>乙方应</w:t>
      </w:r>
      <w:r>
        <w:rPr>
          <w:rFonts w:hint="eastAsia" w:ascii="宋体" w:hAnsi="宋体" w:eastAsia="宋体" w:cs="宋体"/>
          <w:sz w:val="24"/>
          <w:szCs w:val="24"/>
          <w:lang w:val="zh-CN"/>
        </w:rPr>
        <w:t>保证在本项目</w:t>
      </w:r>
      <w:r>
        <w:rPr>
          <w:rFonts w:hint="eastAsia" w:ascii="宋体" w:hAnsi="宋体" w:eastAsia="宋体" w:cs="宋体"/>
          <w:sz w:val="24"/>
          <w:szCs w:val="24"/>
        </w:rPr>
        <w:t>中</w:t>
      </w:r>
      <w:r>
        <w:rPr>
          <w:rFonts w:hint="eastAsia" w:ascii="宋体" w:hAnsi="宋体" w:eastAsia="宋体" w:cs="宋体"/>
          <w:sz w:val="24"/>
          <w:szCs w:val="24"/>
          <w:lang w:val="zh-CN"/>
        </w:rPr>
        <w:t>使用的任何产品和服务(包括部分使用)，不会产生因第三方提出侵犯其专利权、商标权或其它知识产权而引起的法律和经济纠纷，如因专利权、商标权或其它知识产权而引起法律和经济纠纷，由</w:t>
      </w:r>
      <w:r>
        <w:rPr>
          <w:rFonts w:hint="eastAsia" w:ascii="宋体" w:hAnsi="宋体" w:eastAsia="宋体" w:cs="宋体"/>
          <w:sz w:val="24"/>
          <w:szCs w:val="24"/>
        </w:rPr>
        <w:t>乙方</w:t>
      </w:r>
      <w:r>
        <w:rPr>
          <w:rFonts w:hint="eastAsia" w:ascii="宋体" w:hAnsi="宋体" w:eastAsia="宋体" w:cs="宋体"/>
          <w:sz w:val="24"/>
          <w:szCs w:val="24"/>
          <w:lang w:val="zh-CN"/>
        </w:rPr>
        <w:t>承担所有</w:t>
      </w:r>
      <w:r>
        <w:rPr>
          <w:rFonts w:hint="eastAsia" w:ascii="宋体" w:hAnsi="宋体" w:eastAsia="宋体" w:cs="宋体"/>
          <w:sz w:val="24"/>
          <w:szCs w:val="24"/>
        </w:rPr>
        <w:t>全部</w:t>
      </w:r>
      <w:r>
        <w:rPr>
          <w:rFonts w:hint="eastAsia" w:ascii="宋体" w:hAnsi="宋体" w:eastAsia="宋体" w:cs="宋体"/>
          <w:sz w:val="24"/>
          <w:szCs w:val="24"/>
          <w:lang w:val="zh-CN"/>
        </w:rPr>
        <w:t>责任。甲方因此遭受的损失(包括但不限于因此向第三方支付的赔偿金、违约金等，以及因此支出的诉讼费用、律师费、保全费等)均由乙方承担。</w:t>
      </w:r>
    </w:p>
    <w:p>
      <w:pPr>
        <w:keepNext w:val="0"/>
        <w:keepLines w:val="0"/>
        <w:pageBreakBefore w:val="0"/>
        <w:widowControl w:val="0"/>
        <w:kinsoku/>
        <w:overflowPunct/>
        <w:bidi w:val="0"/>
        <w:adjustRightInd w:val="0"/>
        <w:snapToGrid w:val="0"/>
        <w:spacing w:line="520" w:lineRule="exact"/>
        <w:ind w:left="0" w:leftChars="0" w:right="0"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十六、合同的变更和终止</w:t>
      </w:r>
      <w:bookmarkEnd w:id="1321"/>
    </w:p>
    <w:p>
      <w:pPr>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bookmarkStart w:id="1322" w:name="_Toc4413"/>
      <w:r>
        <w:rPr>
          <w:rFonts w:hint="eastAsia" w:ascii="宋体" w:hAnsi="宋体" w:eastAsia="宋体" w:cs="宋体"/>
          <w:sz w:val="24"/>
          <w:szCs w:val="24"/>
        </w:rPr>
        <w:t>合同继续履行将损害国家利益和社会公共利益的，双方当事人应当变更、中止或者终止合同。有过错的一方应当承担赔偿责任，双方都有过错的，各自承担相应的责任。</w:t>
      </w:r>
    </w:p>
    <w:p>
      <w:pPr>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b/>
          <w:bCs/>
          <w:sz w:val="24"/>
          <w:szCs w:val="24"/>
        </w:rPr>
      </w:pPr>
      <w:r>
        <w:rPr>
          <w:rFonts w:hint="eastAsia" w:ascii="宋体" w:hAnsi="宋体" w:eastAsia="宋体" w:cs="宋体"/>
          <w:sz w:val="24"/>
          <w:szCs w:val="24"/>
        </w:rPr>
        <w:t>除以上规定的情形外，本合同一经签订，甲乙双方不得擅自变更、中止或终止合同。</w:t>
      </w:r>
    </w:p>
    <w:p>
      <w:pPr>
        <w:keepNext w:val="0"/>
        <w:keepLines w:val="0"/>
        <w:pageBreakBefore w:val="0"/>
        <w:widowControl w:val="0"/>
        <w:kinsoku/>
        <w:overflowPunct/>
        <w:bidi w:val="0"/>
        <w:adjustRightInd w:val="0"/>
        <w:snapToGrid w:val="0"/>
        <w:spacing w:line="520" w:lineRule="exact"/>
        <w:ind w:left="0" w:leftChars="0" w:right="0"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十七、合同的分包和转让</w:t>
      </w:r>
      <w:bookmarkEnd w:id="1322"/>
    </w:p>
    <w:p>
      <w:pPr>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1.乙方不得部分或全部转让其应履行的合同义务；</w:t>
      </w:r>
    </w:p>
    <w:p>
      <w:pPr>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2.乙方不得分包。</w:t>
      </w:r>
      <w:bookmarkStart w:id="1323" w:name="_Toc25301"/>
    </w:p>
    <w:p>
      <w:pPr>
        <w:keepNext w:val="0"/>
        <w:keepLines w:val="0"/>
        <w:pageBreakBefore w:val="0"/>
        <w:widowControl w:val="0"/>
        <w:kinsoku/>
        <w:overflowPunct/>
        <w:bidi w:val="0"/>
        <w:adjustRightInd w:val="0"/>
        <w:snapToGrid w:val="0"/>
        <w:spacing w:line="520" w:lineRule="exact"/>
        <w:ind w:left="0" w:leftChars="0" w:right="0"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十八、违约责任</w:t>
      </w:r>
      <w:bookmarkEnd w:id="1323"/>
    </w:p>
    <w:p>
      <w:pPr>
        <w:keepNext w:val="0"/>
        <w:keepLines w:val="0"/>
        <w:pageBreakBefore w:val="0"/>
        <w:widowControl w:val="0"/>
        <w:tabs>
          <w:tab w:val="left" w:pos="1890"/>
          <w:tab w:val="clear" w:pos="0"/>
        </w:tabs>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1.甲方违约责任</w:t>
      </w:r>
    </w:p>
    <w:p>
      <w:pPr>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甲方无正当理由拒收服装的，应向乙方支付当批次服装总金额的百分之十的违约金。</w:t>
      </w:r>
    </w:p>
    <w:p>
      <w:pPr>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2.乙方违约责任</w:t>
      </w:r>
    </w:p>
    <w:p>
      <w:pPr>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2.1乙方交付的服装不符合招标文件和投标文件规定的，乙方应在15个日历天内完成整改，若乙方未在15个日历天内整改完成或整改后仍不符合单不符招标文件和投标文件规定的要求，视作乙方不能交付服装而违约，乙方按本条本款下述第“2.2”项规定向甲方支付违约金。</w:t>
      </w:r>
    </w:p>
    <w:p>
      <w:pPr>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2.2乙方不能交付服装而违约的，本合同终止，乙方按当批次服装总金额的百分之十向甲方支付违约金和赔偿因此给甲方造成的全部损失，并且甲方不予退还乙方履约保证金。</w:t>
      </w:r>
    </w:p>
    <w:p>
      <w:pPr>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2.3乙方逾期交付服装，除应及时交足服装外，还应向甲方偿付逾期交货部分货款总额的万分之三/天的违约金；逾期交货超过20日历天，甲方有权终止合同并要求乙方按当次送货金额的百分之十向甲方支付违约金，并赔偿因此给甲方造成的全部损失，甲方不予退还乙方履约保证金。</w:t>
      </w:r>
    </w:p>
    <w:p>
      <w:pPr>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bookmarkStart w:id="1324" w:name="_Toc31185"/>
      <w:r>
        <w:rPr>
          <w:rFonts w:hint="eastAsia" w:ascii="宋体" w:hAnsi="宋体" w:eastAsia="宋体" w:cs="宋体"/>
          <w:sz w:val="24"/>
          <w:szCs w:val="24"/>
        </w:rPr>
        <w:t>2.4乙方服装经甲方送交具有法定资格条件的质量技术监督机构检测后，如检测结果认定服装质量不符合招标文件和乙方投标文件规定标准的，则视为乙方没有按时交货而违约，乙方须在15日历天内无条件更换合格的货物，如逾期不能更换合格的服装，甲方有权终止合同并要求乙方按实际服装总金额的百分之十向甲方偿付赔偿金，并且甲方不予退还乙方履约保证金，同时，乙方不得</w:t>
      </w:r>
      <w:r>
        <w:rPr>
          <w:rFonts w:hint="eastAsia" w:ascii="宋体" w:hAnsi="宋体" w:eastAsia="宋体" w:cs="宋体"/>
          <w:sz w:val="24"/>
          <w:szCs w:val="24"/>
          <w:lang w:val="en-US" w:eastAsia="zh-CN"/>
        </w:rPr>
        <w:t>再</w:t>
      </w:r>
      <w:r>
        <w:rPr>
          <w:rFonts w:hint="eastAsia" w:ascii="宋体" w:hAnsi="宋体" w:eastAsia="宋体" w:cs="宋体"/>
          <w:sz w:val="24"/>
          <w:szCs w:val="24"/>
        </w:rPr>
        <w:t>向甲方及甲方学生出售相关服装；若已经出售的，甲方及甲方学生有权要求退货。</w:t>
      </w:r>
    </w:p>
    <w:p>
      <w:pPr>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2.5乙方未按招标文件和乙方的投标文件约定的时间及要求提供售后服务的，甲方有权委托第三方提供服务，由此产生的费用全部由乙方承担。若超过两次</w:t>
      </w:r>
      <w:r>
        <w:rPr>
          <w:rFonts w:hint="eastAsia" w:ascii="宋体" w:hAnsi="宋体" w:eastAsia="宋体" w:cs="宋体"/>
          <w:sz w:val="24"/>
          <w:szCs w:val="24"/>
          <w:lang w:eastAsia="zh-CN"/>
        </w:rPr>
        <w:t>(</w:t>
      </w:r>
      <w:r>
        <w:rPr>
          <w:rFonts w:hint="eastAsia" w:ascii="宋体" w:hAnsi="宋体" w:eastAsia="宋体" w:cs="宋体"/>
          <w:sz w:val="24"/>
          <w:szCs w:val="24"/>
        </w:rPr>
        <w:t>含</w:t>
      </w:r>
      <w:r>
        <w:rPr>
          <w:rFonts w:hint="eastAsia" w:ascii="宋体" w:hAnsi="宋体" w:eastAsia="宋体" w:cs="宋体"/>
          <w:sz w:val="24"/>
          <w:szCs w:val="24"/>
          <w:lang w:eastAsia="zh-CN"/>
        </w:rPr>
        <w:t>)</w:t>
      </w:r>
      <w:r>
        <w:rPr>
          <w:rFonts w:hint="eastAsia" w:ascii="宋体" w:hAnsi="宋体" w:eastAsia="宋体" w:cs="宋体"/>
          <w:sz w:val="24"/>
          <w:szCs w:val="24"/>
        </w:rPr>
        <w:t>，则乙方应向甲方支付三万元的违约金，并且甲方不予退还乙方履约保证金。</w:t>
      </w:r>
    </w:p>
    <w:p>
      <w:pPr>
        <w:keepNext w:val="0"/>
        <w:keepLines w:val="0"/>
        <w:pageBreakBefore w:val="0"/>
        <w:widowControl w:val="0"/>
        <w:kinsoku/>
        <w:overflowPunct/>
        <w:bidi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2.6 乙方支付的违约金不足以弥补甲方损失的，还应按甲方损失尚未弥补的部分,支付赔偿金给甲方。</w:t>
      </w:r>
    </w:p>
    <w:p>
      <w:pPr>
        <w:keepNext w:val="0"/>
        <w:keepLines w:val="0"/>
        <w:pageBreakBefore w:val="0"/>
        <w:widowControl w:val="0"/>
        <w:kinsoku/>
        <w:overflowPunct/>
        <w:bidi w:val="0"/>
        <w:adjustRightInd w:val="0"/>
        <w:snapToGrid w:val="0"/>
        <w:spacing w:line="520" w:lineRule="exact"/>
        <w:ind w:left="0" w:leftChars="0" w:right="0"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十九、组成本合同的有关文件</w:t>
      </w:r>
      <w:bookmarkEnd w:id="1324"/>
      <w:r>
        <w:rPr>
          <w:rFonts w:hint="eastAsia" w:ascii="宋体" w:hAnsi="宋体" w:eastAsia="宋体" w:cs="宋体"/>
          <w:b/>
          <w:bCs/>
          <w:sz w:val="24"/>
          <w:szCs w:val="24"/>
        </w:rPr>
        <w:t xml:space="preserve"> </w:t>
      </w:r>
    </w:p>
    <w:p>
      <w:pPr>
        <w:keepNext w:val="0"/>
        <w:keepLines w:val="0"/>
        <w:pageBreakBefore w:val="0"/>
        <w:widowControl w:val="0"/>
        <w:kinsoku/>
        <w:overflowPunct/>
        <w:bidi w:val="0"/>
        <w:adjustRightInd w:val="0"/>
        <w:snapToGrid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下列关于XXXX采购项目(项目编号：XXXX)的招标文件、乙方的投标文件或与本次采购活动方式相适应的文件及有关附件是本合同不可分割的组成部分，与本合同具有同等法律效力，这些文件包括但不限于：</w:t>
      </w:r>
    </w:p>
    <w:p>
      <w:pPr>
        <w:keepNext w:val="0"/>
        <w:keepLines w:val="0"/>
        <w:pageBreakBefore w:val="0"/>
        <w:widowControl w:val="0"/>
        <w:kinsoku/>
        <w:overflowPunct/>
        <w:bidi w:val="0"/>
        <w:adjustRightInd w:val="0"/>
        <w:snapToGrid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1.甲方的招标文件；</w:t>
      </w:r>
    </w:p>
    <w:p>
      <w:pPr>
        <w:keepNext w:val="0"/>
        <w:keepLines w:val="0"/>
        <w:pageBreakBefore w:val="0"/>
        <w:widowControl w:val="0"/>
        <w:kinsoku/>
        <w:overflowPunct/>
        <w:bidi w:val="0"/>
        <w:adjustRightInd w:val="0"/>
        <w:snapToGrid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2.乙方的投标文件；</w:t>
      </w:r>
    </w:p>
    <w:p>
      <w:pPr>
        <w:keepNext w:val="0"/>
        <w:keepLines w:val="0"/>
        <w:pageBreakBefore w:val="0"/>
        <w:widowControl w:val="0"/>
        <w:kinsoku/>
        <w:overflowPunct/>
        <w:bidi w:val="0"/>
        <w:adjustRightInd w:val="0"/>
        <w:snapToGrid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3.中标通知书；</w:t>
      </w:r>
    </w:p>
    <w:p>
      <w:pPr>
        <w:keepNext w:val="0"/>
        <w:keepLines w:val="0"/>
        <w:pageBreakBefore w:val="0"/>
        <w:widowControl w:val="0"/>
        <w:kinsoku/>
        <w:overflowPunct/>
        <w:bidi w:val="0"/>
        <w:adjustRightInd w:val="0"/>
        <w:snapToGrid w:val="0"/>
        <w:spacing w:line="520" w:lineRule="exact"/>
        <w:ind w:left="0" w:leftChars="0" w:right="0" w:firstLine="482" w:firstLineChars="200"/>
        <w:textAlignment w:val="auto"/>
        <w:outlineLvl w:val="9"/>
        <w:rPr>
          <w:rFonts w:hint="eastAsia" w:ascii="宋体" w:hAnsi="宋体" w:eastAsia="宋体" w:cs="宋体"/>
          <w:b/>
          <w:bCs/>
          <w:sz w:val="24"/>
          <w:szCs w:val="24"/>
        </w:rPr>
      </w:pPr>
      <w:bookmarkStart w:id="1325" w:name="_Toc16141"/>
      <w:r>
        <w:rPr>
          <w:rFonts w:hint="eastAsia" w:ascii="宋体" w:hAnsi="宋体" w:eastAsia="宋体" w:cs="宋体"/>
          <w:b/>
          <w:bCs/>
          <w:sz w:val="24"/>
          <w:szCs w:val="24"/>
        </w:rPr>
        <w:t>二十、其他</w:t>
      </w:r>
      <w:bookmarkEnd w:id="1325"/>
    </w:p>
    <w:p>
      <w:pPr>
        <w:keepNext w:val="0"/>
        <w:keepLines w:val="0"/>
        <w:pageBreakBefore w:val="0"/>
        <w:widowControl w:val="0"/>
        <w:kinsoku/>
        <w:overflowPunct/>
        <w:bidi w:val="0"/>
        <w:adjustRightInd w:val="0"/>
        <w:snapToGrid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1.乙方制定的实施方案详见乙方投标文件。</w:t>
      </w:r>
    </w:p>
    <w:p>
      <w:pPr>
        <w:keepNext w:val="0"/>
        <w:keepLines w:val="0"/>
        <w:pageBreakBefore w:val="0"/>
        <w:widowControl w:val="0"/>
        <w:kinsoku/>
        <w:overflowPunct/>
        <w:bidi w:val="0"/>
        <w:adjustRightInd w:val="0"/>
        <w:snapToGrid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2.本合同经双方法定代表人或授权委托代理人签字并加盖单位章后生效。</w:t>
      </w:r>
    </w:p>
    <w:p>
      <w:pPr>
        <w:keepNext w:val="0"/>
        <w:keepLines w:val="0"/>
        <w:pageBreakBefore w:val="0"/>
        <w:widowControl w:val="0"/>
        <w:kinsoku/>
        <w:overflowPunct/>
        <w:bidi w:val="0"/>
        <w:adjustRightInd w:val="0"/>
        <w:snapToGrid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3.如有未尽事宜，由双方依法订立补充合同。</w:t>
      </w:r>
    </w:p>
    <w:p>
      <w:pPr>
        <w:keepNext w:val="0"/>
        <w:keepLines w:val="0"/>
        <w:pageBreakBefore w:val="0"/>
        <w:widowControl w:val="0"/>
        <w:kinsoku/>
        <w:overflowPunct/>
        <w:bidi w:val="0"/>
        <w:adjustRightInd w:val="0"/>
        <w:snapToGrid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4.本合同一式陆份，甲方肆份，乙方贰份，均具有同等法律效力。</w:t>
      </w:r>
    </w:p>
    <w:p>
      <w:pPr>
        <w:keepNext w:val="0"/>
        <w:keepLines w:val="0"/>
        <w:pageBreakBefore w:val="0"/>
        <w:widowControl w:val="0"/>
        <w:kinsoku/>
        <w:overflowPunct/>
        <w:bidi w:val="0"/>
        <w:adjustRightInd w:val="0"/>
        <w:snapToGrid w:val="0"/>
        <w:spacing w:line="520" w:lineRule="exact"/>
        <w:ind w:left="0" w:leftChars="0" w:right="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5.如本合同与甲方的招标文件、乙方的投标文件不一致时，以甲方的招标文件、乙方的投标文件为准。</w:t>
      </w:r>
    </w:p>
    <w:p>
      <w:pPr>
        <w:keepNext w:val="0"/>
        <w:keepLines w:val="0"/>
        <w:pageBreakBefore w:val="0"/>
        <w:widowControl w:val="0"/>
        <w:kinsoku/>
        <w:overflowPunct/>
        <w:bidi w:val="0"/>
        <w:adjustRightInd w:val="0"/>
        <w:snapToGrid w:val="0"/>
        <w:spacing w:line="520" w:lineRule="exact"/>
        <w:ind w:left="0" w:leftChars="0" w:right="0" w:firstLine="480" w:firstLineChars="200"/>
        <w:textAlignment w:val="auto"/>
        <w:outlineLvl w:val="9"/>
        <w:rPr>
          <w:rFonts w:cs="宋体"/>
          <w:color w:val="auto"/>
          <w:highlight w:val="none"/>
        </w:rPr>
      </w:pPr>
      <w:r>
        <w:rPr>
          <w:rFonts w:hint="eastAsia" w:ascii="宋体" w:hAnsi="宋体" w:eastAsia="宋体" w:cs="宋体"/>
          <w:sz w:val="24"/>
          <w:szCs w:val="24"/>
        </w:rPr>
        <w:t>6.本合同应按照中华人民共和国的现行法律进行解释。</w:t>
      </w:r>
    </w:p>
    <w:bookmarkEnd w:id="1317"/>
    <w:bookmarkEnd w:id="1318"/>
    <w:p>
      <w:pPr>
        <w:pStyle w:val="36"/>
        <w:numPr>
          <w:ilvl w:val="1"/>
          <w:numId w:val="0"/>
        </w:numPr>
        <w:spacing w:line="520" w:lineRule="exact"/>
        <w:outlineLvl w:val="9"/>
        <w:rPr>
          <w:rFonts w:cs="宋体"/>
          <w:b w:val="0"/>
          <w:bCs/>
          <w:color w:val="auto"/>
          <w:highlight w:val="none"/>
        </w:rPr>
      </w:pPr>
    </w:p>
    <w:p>
      <w:pPr>
        <w:pStyle w:val="35"/>
        <w:pageBreakBefore/>
        <w:spacing w:before="240" w:beforeLines="100" w:after="240" w:afterLines="100"/>
        <w:jc w:val="center"/>
        <w:rPr>
          <w:rFonts w:cs="宋体"/>
          <w:b/>
          <w:bCs/>
          <w:color w:val="auto"/>
          <w:highlight w:val="none"/>
        </w:rPr>
      </w:pPr>
      <w:r>
        <w:rPr>
          <w:rFonts w:hint="eastAsia" w:cs="宋体"/>
          <w:b/>
          <w:bCs/>
          <w:color w:val="auto"/>
          <w:highlight w:val="none"/>
        </w:rPr>
        <w:t>(本页无正文)</w:t>
      </w:r>
    </w:p>
    <w:tbl>
      <w:tblPr>
        <w:tblStyle w:val="24"/>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4"/>
              <w:rPr>
                <w:rFonts w:cs="宋体"/>
                <w:color w:val="auto"/>
                <w:highlight w:val="none"/>
              </w:rPr>
            </w:pPr>
            <w:r>
              <w:rPr>
                <w:rFonts w:hint="eastAsia" w:cs="宋体"/>
                <w:color w:val="auto"/>
                <w:highlight w:val="none"/>
              </w:rPr>
              <w:t>甲方：   (盖章)</w:t>
            </w:r>
          </w:p>
        </w:tc>
        <w:tc>
          <w:tcPr>
            <w:tcW w:w="4981" w:type="dxa"/>
            <w:vAlign w:val="center"/>
          </w:tcPr>
          <w:p>
            <w:pPr>
              <w:pStyle w:val="44"/>
              <w:rPr>
                <w:rFonts w:cs="宋体"/>
                <w:color w:val="auto"/>
                <w:highlight w:val="none"/>
              </w:rPr>
            </w:pPr>
            <w:r>
              <w:rPr>
                <w:rFonts w:hint="eastAsia" w:cs="宋体"/>
                <w:color w:val="auto"/>
                <w:highlight w:val="none"/>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4"/>
              <w:rPr>
                <w:rFonts w:cs="宋体"/>
                <w:color w:val="auto"/>
                <w:highlight w:val="none"/>
              </w:rPr>
            </w:pPr>
            <w:r>
              <w:rPr>
                <w:rFonts w:hint="eastAsia" w:cs="宋体"/>
                <w:color w:val="auto"/>
                <w:highlight w:val="none"/>
              </w:rPr>
              <w:t>法定代表人(授权代表)：</w:t>
            </w:r>
          </w:p>
        </w:tc>
        <w:tc>
          <w:tcPr>
            <w:tcW w:w="4981" w:type="dxa"/>
            <w:vAlign w:val="center"/>
          </w:tcPr>
          <w:p>
            <w:pPr>
              <w:pStyle w:val="44"/>
              <w:rPr>
                <w:rFonts w:cs="宋体"/>
                <w:color w:val="auto"/>
                <w:highlight w:val="none"/>
              </w:rPr>
            </w:pPr>
            <w:r>
              <w:rPr>
                <w:rFonts w:hint="eastAsia" w:cs="宋体"/>
                <w:color w:val="auto"/>
                <w:highlight w:val="none"/>
              </w:rPr>
              <w:t>法定代表人(授权代表)：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4"/>
              <w:rPr>
                <w:rFonts w:cs="宋体"/>
                <w:color w:val="auto"/>
                <w:highlight w:val="none"/>
              </w:rPr>
            </w:pPr>
            <w:r>
              <w:rPr>
                <w:rFonts w:hint="eastAsia" w:cs="宋体"/>
                <w:color w:val="auto"/>
                <w:highlight w:val="none"/>
              </w:rPr>
              <w:t>地址(住所)：</w:t>
            </w:r>
          </w:p>
        </w:tc>
        <w:tc>
          <w:tcPr>
            <w:tcW w:w="4981" w:type="dxa"/>
            <w:vAlign w:val="center"/>
          </w:tcPr>
          <w:p>
            <w:pPr>
              <w:pStyle w:val="44"/>
              <w:rPr>
                <w:rFonts w:cs="宋体"/>
                <w:color w:val="auto"/>
                <w:highlight w:val="none"/>
              </w:rPr>
            </w:pPr>
            <w:r>
              <w:rPr>
                <w:rFonts w:hint="eastAsia" w:cs="宋体"/>
                <w:color w:val="auto"/>
                <w:highlight w:val="none"/>
              </w:rPr>
              <w:t>地址(住所)：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4"/>
              <w:rPr>
                <w:rFonts w:cs="宋体"/>
                <w:color w:val="auto"/>
                <w:highlight w:val="none"/>
              </w:rPr>
            </w:pPr>
            <w:r>
              <w:rPr>
                <w:rFonts w:hint="eastAsia" w:cs="宋体"/>
                <w:color w:val="auto"/>
                <w:highlight w:val="none"/>
              </w:rPr>
              <w:t>开户银行：</w:t>
            </w:r>
          </w:p>
        </w:tc>
        <w:tc>
          <w:tcPr>
            <w:tcW w:w="4981" w:type="dxa"/>
            <w:vAlign w:val="center"/>
          </w:tcPr>
          <w:p>
            <w:pPr>
              <w:pStyle w:val="44"/>
              <w:rPr>
                <w:rFonts w:cs="宋体"/>
                <w:color w:val="auto"/>
                <w:highlight w:val="none"/>
              </w:rPr>
            </w:pPr>
            <w:r>
              <w:rPr>
                <w:rFonts w:hint="eastAsia" w:cs="宋体"/>
                <w:color w:val="auto"/>
                <w:highlight w:val="none"/>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4"/>
              <w:rPr>
                <w:rFonts w:cs="宋体"/>
                <w:color w:val="auto"/>
                <w:highlight w:val="none"/>
              </w:rPr>
            </w:pPr>
            <w:r>
              <w:rPr>
                <w:rFonts w:hint="eastAsia" w:cs="宋体"/>
                <w:color w:val="auto"/>
                <w:highlight w:val="none"/>
              </w:rPr>
              <w:t>账号：</w:t>
            </w:r>
          </w:p>
        </w:tc>
        <w:tc>
          <w:tcPr>
            <w:tcW w:w="4981" w:type="dxa"/>
            <w:vAlign w:val="center"/>
          </w:tcPr>
          <w:p>
            <w:pPr>
              <w:pStyle w:val="44"/>
              <w:rPr>
                <w:rFonts w:cs="宋体"/>
                <w:color w:val="auto"/>
                <w:highlight w:val="none"/>
              </w:rPr>
            </w:pPr>
            <w:r>
              <w:rPr>
                <w:rFonts w:hint="eastAsia" w:cs="宋体"/>
                <w:color w:val="auto"/>
                <w:highlight w:val="none"/>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4"/>
              <w:rPr>
                <w:rFonts w:cs="宋体"/>
                <w:color w:val="auto"/>
                <w:highlight w:val="none"/>
              </w:rPr>
            </w:pPr>
            <w:r>
              <w:rPr>
                <w:rFonts w:hint="eastAsia" w:cs="宋体"/>
                <w:color w:val="auto"/>
                <w:highlight w:val="none"/>
              </w:rPr>
              <w:t xml:space="preserve">电话： </w:t>
            </w:r>
          </w:p>
        </w:tc>
        <w:tc>
          <w:tcPr>
            <w:tcW w:w="4981" w:type="dxa"/>
            <w:vAlign w:val="center"/>
          </w:tcPr>
          <w:p>
            <w:pPr>
              <w:pStyle w:val="44"/>
              <w:rPr>
                <w:rFonts w:cs="宋体"/>
                <w:color w:val="auto"/>
                <w:highlight w:val="none"/>
              </w:rPr>
            </w:pPr>
            <w:r>
              <w:rPr>
                <w:rFonts w:hint="eastAsia" w:cs="宋体"/>
                <w:color w:val="auto"/>
                <w:highlight w:val="none"/>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44"/>
              <w:rPr>
                <w:rFonts w:cs="宋体"/>
                <w:color w:val="auto"/>
                <w:highlight w:val="none"/>
              </w:rPr>
            </w:pPr>
            <w:r>
              <w:rPr>
                <w:rFonts w:hint="eastAsia" w:cs="宋体"/>
                <w:color w:val="auto"/>
                <w:highlight w:val="none"/>
              </w:rPr>
              <w:t>传真：</w:t>
            </w:r>
          </w:p>
        </w:tc>
        <w:tc>
          <w:tcPr>
            <w:tcW w:w="4981" w:type="dxa"/>
            <w:vAlign w:val="center"/>
          </w:tcPr>
          <w:p>
            <w:pPr>
              <w:pStyle w:val="44"/>
              <w:rPr>
                <w:rFonts w:cs="宋体"/>
                <w:color w:val="auto"/>
                <w:highlight w:val="none"/>
              </w:rPr>
            </w:pPr>
            <w:r>
              <w:rPr>
                <w:rFonts w:hint="eastAsia" w:cs="宋体"/>
                <w:color w:val="auto"/>
                <w:highlight w:val="none"/>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44"/>
              <w:rPr>
                <w:rFonts w:cs="宋体"/>
                <w:color w:val="auto"/>
                <w:highlight w:val="none"/>
              </w:rPr>
            </w:pPr>
            <w:r>
              <w:rPr>
                <w:rFonts w:hint="eastAsia" w:cs="宋体"/>
                <w:color w:val="auto"/>
                <w:highlight w:val="none"/>
              </w:rPr>
              <w:t>签约日期：XX年XX月XX日</w:t>
            </w:r>
          </w:p>
        </w:tc>
        <w:tc>
          <w:tcPr>
            <w:tcW w:w="4981" w:type="dxa"/>
            <w:vAlign w:val="center"/>
          </w:tcPr>
          <w:p>
            <w:pPr>
              <w:pStyle w:val="44"/>
              <w:rPr>
                <w:rFonts w:cs="宋体"/>
                <w:color w:val="auto"/>
                <w:highlight w:val="none"/>
              </w:rPr>
            </w:pPr>
            <w:r>
              <w:rPr>
                <w:rFonts w:hint="eastAsia" w:cs="宋体"/>
                <w:color w:val="auto"/>
                <w:highlight w:val="none"/>
              </w:rPr>
              <w:t>签约日期：XX年XX月XX日</w:t>
            </w:r>
          </w:p>
        </w:tc>
      </w:tr>
    </w:tbl>
    <w:p>
      <w:pPr>
        <w:pStyle w:val="44"/>
        <w:rPr>
          <w:color w:val="auto"/>
          <w:highlight w:val="none"/>
        </w:rPr>
      </w:pPr>
      <w:r>
        <w:rPr>
          <w:rFonts w:hint="eastAsia"/>
          <w:color w:val="auto"/>
          <w:highlight w:val="none"/>
        </w:rPr>
        <w:br w:type="page"/>
      </w:r>
    </w:p>
    <w:p>
      <w:pPr>
        <w:pStyle w:val="50"/>
        <w:numPr>
          <w:ilvl w:val="0"/>
          <w:numId w:val="15"/>
        </w:numPr>
        <w:spacing w:before="120" w:after="120"/>
        <w:rPr>
          <w:color w:val="auto"/>
          <w:highlight w:val="none"/>
        </w:rPr>
      </w:pPr>
      <w:bookmarkStart w:id="1326" w:name="_Toc24077"/>
      <w:bookmarkStart w:id="1327" w:name="_Toc28848"/>
      <w:bookmarkStart w:id="1328" w:name="_Toc3572"/>
      <w:r>
        <w:rPr>
          <w:rFonts w:hint="eastAsia"/>
          <w:color w:val="auto"/>
          <w:highlight w:val="none"/>
        </w:rPr>
        <w:t>附件</w:t>
      </w:r>
      <w:bookmarkEnd w:id="1326"/>
      <w:bookmarkEnd w:id="1327"/>
      <w:bookmarkEnd w:id="1328"/>
    </w:p>
    <w:p>
      <w:pPr>
        <w:pStyle w:val="44"/>
        <w:jc w:val="both"/>
        <w:outlineLvl w:val="2"/>
        <w:rPr>
          <w:b/>
          <w:bCs/>
          <w:color w:val="auto"/>
          <w:highlight w:val="none"/>
        </w:rPr>
      </w:pPr>
      <w:bookmarkStart w:id="1329" w:name="_Toc16082"/>
      <w:bookmarkStart w:id="1330" w:name="_Toc14862"/>
      <w:r>
        <w:rPr>
          <w:rFonts w:hint="eastAsia" w:cs="宋体"/>
          <w:b/>
          <w:bCs/>
          <w:color w:val="auto"/>
          <w:highlight w:val="none"/>
        </w:rPr>
        <w:t>附件一：《2023年度信用评价服务效果调查表(供应商)》</w:t>
      </w:r>
      <w:bookmarkEnd w:id="1329"/>
      <w:bookmarkEnd w:id="1330"/>
    </w:p>
    <w:p>
      <w:pPr>
        <w:pStyle w:val="44"/>
        <w:rPr>
          <w:color w:val="auto"/>
          <w:highlight w:val="none"/>
          <w:u w:val="single"/>
        </w:rPr>
      </w:pPr>
      <w:r>
        <w:rPr>
          <w:rFonts w:hint="eastAsia"/>
          <w:color w:val="auto"/>
          <w:highlight w:val="none"/>
        </w:rPr>
        <w:t>项目名称：</w:t>
      </w:r>
      <w:r>
        <w:rPr>
          <w:rFonts w:hint="eastAsia"/>
          <w:color w:val="auto"/>
          <w:highlight w:val="none"/>
          <w:u w:val="single"/>
        </w:rPr>
        <w:t xml:space="preserve">                               </w:t>
      </w:r>
    </w:p>
    <w:p>
      <w:pPr>
        <w:pStyle w:val="44"/>
        <w:rPr>
          <w:color w:val="auto"/>
          <w:highlight w:val="none"/>
          <w:u w:val="single"/>
        </w:rPr>
      </w:pPr>
      <w:r>
        <w:rPr>
          <w:rFonts w:hint="eastAsia"/>
          <w:color w:val="auto"/>
          <w:highlight w:val="none"/>
        </w:rPr>
        <w:t>项目编号：</w:t>
      </w:r>
      <w:r>
        <w:rPr>
          <w:rFonts w:hint="eastAsia"/>
          <w:color w:val="auto"/>
          <w:highlight w:val="none"/>
          <w:u w:val="single"/>
        </w:rPr>
        <w:t xml:space="preserve">                               </w:t>
      </w:r>
    </w:p>
    <w:p>
      <w:pPr>
        <w:pStyle w:val="44"/>
        <w:rPr>
          <w:color w:val="auto"/>
          <w:highlight w:val="none"/>
        </w:rPr>
      </w:pPr>
      <w:r>
        <w:rPr>
          <w:rFonts w:hint="eastAsia"/>
          <w:color w:val="auto"/>
          <w:highlight w:val="none"/>
        </w:rPr>
        <w:t>被评价代理机构名称：四川乾新招投标代理有限公司</w:t>
      </w:r>
    </w:p>
    <w:tbl>
      <w:tblPr>
        <w:tblStyle w:val="23"/>
        <w:tblW w:w="9770" w:type="dxa"/>
        <w:tblInd w:w="0" w:type="dxa"/>
        <w:tblLayout w:type="fixed"/>
        <w:tblCellMar>
          <w:top w:w="15" w:type="dxa"/>
          <w:left w:w="15" w:type="dxa"/>
          <w:bottom w:w="15" w:type="dxa"/>
          <w:right w:w="15" w:type="dxa"/>
        </w:tblCellMar>
      </w:tblPr>
      <w:tblGrid>
        <w:gridCol w:w="1219"/>
        <w:gridCol w:w="2430"/>
        <w:gridCol w:w="1530"/>
        <w:gridCol w:w="1530"/>
        <w:gridCol w:w="1530"/>
        <w:gridCol w:w="1531"/>
      </w:tblGrid>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r>
              <w:rPr>
                <w:rFonts w:hint="eastAsia"/>
                <w:b/>
                <w:bCs/>
                <w:color w:val="auto"/>
                <w:highlight w:val="none"/>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r>
              <w:rPr>
                <w:rFonts w:hint="eastAsia"/>
                <w:b/>
                <w:bCs/>
                <w:color w:val="auto"/>
                <w:highlight w:val="none"/>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r>
              <w:rPr>
                <w:rFonts w:hint="eastAsia"/>
                <w:b/>
                <w:bCs/>
                <w:color w:val="auto"/>
                <w:highlight w:val="none"/>
              </w:rPr>
              <w:t xml:space="preserve">满意 </w:t>
            </w:r>
          </w:p>
          <w:p>
            <w:pPr>
              <w:pStyle w:val="47"/>
              <w:rPr>
                <w:b/>
                <w:bCs/>
                <w:color w:val="auto"/>
                <w:highlight w:val="none"/>
              </w:rPr>
            </w:pPr>
            <w:r>
              <w:rPr>
                <w:rFonts w:hint="eastAsia"/>
                <w:b/>
                <w:bCs/>
                <w:color w:val="auto"/>
                <w:highlight w:val="none"/>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r>
              <w:rPr>
                <w:rFonts w:hint="eastAsia"/>
                <w:b/>
                <w:bCs/>
                <w:color w:val="auto"/>
                <w:highlight w:val="none"/>
              </w:rPr>
              <w:t xml:space="preserve">基本满意 </w:t>
            </w:r>
          </w:p>
          <w:p>
            <w:pPr>
              <w:pStyle w:val="47"/>
              <w:rPr>
                <w:b/>
                <w:bCs/>
                <w:color w:val="auto"/>
                <w:highlight w:val="none"/>
              </w:rPr>
            </w:pPr>
            <w:r>
              <w:rPr>
                <w:rFonts w:hint="eastAsia"/>
                <w:b/>
                <w:bCs/>
                <w:color w:val="auto"/>
                <w:highlight w:val="none"/>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r>
              <w:rPr>
                <w:rFonts w:hint="eastAsia"/>
                <w:b/>
                <w:bCs/>
                <w:color w:val="auto"/>
                <w:highlight w:val="none"/>
              </w:rPr>
              <w:t xml:space="preserve">一般 </w:t>
            </w:r>
          </w:p>
          <w:p>
            <w:pPr>
              <w:pStyle w:val="47"/>
              <w:rPr>
                <w:b/>
                <w:bCs/>
                <w:color w:val="auto"/>
                <w:highlight w:val="none"/>
              </w:rPr>
            </w:pPr>
            <w:r>
              <w:rPr>
                <w:rFonts w:hint="eastAsia"/>
                <w:b/>
                <w:bCs/>
                <w:color w:val="auto"/>
                <w:highlight w:val="none"/>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r>
              <w:rPr>
                <w:rFonts w:hint="eastAsia"/>
                <w:b/>
                <w:bCs/>
                <w:color w:val="auto"/>
                <w:highlight w:val="none"/>
              </w:rPr>
              <w:t>不满意</w:t>
            </w:r>
          </w:p>
          <w:p>
            <w:pPr>
              <w:pStyle w:val="47"/>
              <w:rPr>
                <w:b/>
                <w:bCs/>
                <w:color w:val="auto"/>
                <w:highlight w:val="none"/>
              </w:rPr>
            </w:pPr>
            <w:r>
              <w:rPr>
                <w:rFonts w:hint="eastAsia"/>
                <w:b/>
                <w:bCs/>
                <w:color w:val="auto"/>
                <w:highlight w:val="none"/>
              </w:rPr>
              <w:t>(0分)</w:t>
            </w: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r>
              <w:rPr>
                <w:rFonts w:hint="eastAsia"/>
                <w:b/>
                <w:bCs/>
                <w:color w:val="auto"/>
                <w:highlight w:val="none"/>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r>
              <w:rPr>
                <w:rFonts w:hint="eastAsia"/>
                <w:b/>
                <w:bCs/>
                <w:color w:val="auto"/>
                <w:highlight w:val="none"/>
              </w:rPr>
              <w:t>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r>
              <w:rPr>
                <w:rFonts w:hint="eastAsia"/>
                <w:b/>
                <w:bCs/>
                <w:color w:val="auto"/>
                <w:highlight w:val="none"/>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r>
              <w:rPr>
                <w:rFonts w:hint="eastAsia"/>
                <w:b/>
                <w:bCs/>
                <w:color w:val="auto"/>
                <w:highlight w:val="none"/>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r>
              <w:rPr>
                <w:rFonts w:hint="eastAsia"/>
                <w:b/>
                <w:bCs/>
                <w:color w:val="auto"/>
                <w:highlight w:val="none"/>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r>
              <w:rPr>
                <w:rFonts w:hint="eastAsia"/>
                <w:b/>
                <w:bCs/>
                <w:color w:val="auto"/>
                <w:highlight w:val="none"/>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r>
              <w:rPr>
                <w:rFonts w:hint="eastAsia"/>
                <w:b/>
                <w:bCs/>
                <w:color w:val="auto"/>
                <w:highlight w:val="none"/>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r>
              <w:rPr>
                <w:rFonts w:hint="eastAsia"/>
                <w:b/>
                <w:bCs/>
                <w:color w:val="auto"/>
                <w:highlight w:val="none"/>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p>
        </w:tc>
      </w:tr>
      <w:tr>
        <w:tblPrEx>
          <w:tblCellMar>
            <w:top w:w="15" w:type="dxa"/>
            <w:left w:w="15" w:type="dxa"/>
            <w:bottom w:w="15" w:type="dxa"/>
            <w:right w:w="15" w:type="dxa"/>
          </w:tblCellMar>
        </w:tblPrEx>
        <w:trPr>
          <w:trHeight w:val="480"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3"/>
              <w:rPr>
                <w:b/>
                <w:bCs/>
                <w:color w:val="auto"/>
                <w:highlight w:val="none"/>
              </w:rPr>
            </w:pPr>
            <w:r>
              <w:rPr>
                <w:rFonts w:hint="eastAsia"/>
                <w:b/>
                <w:bCs/>
                <w:color w:val="auto"/>
                <w:highlight w:val="none"/>
              </w:rPr>
              <w:t>对代理机构工作的其他建议：</w:t>
            </w:r>
          </w:p>
        </w:tc>
      </w:tr>
      <w:tr>
        <w:tblPrEx>
          <w:tblCellMar>
            <w:top w:w="15" w:type="dxa"/>
            <w:left w:w="15" w:type="dxa"/>
            <w:bottom w:w="15" w:type="dxa"/>
            <w:right w:w="15" w:type="dxa"/>
          </w:tblCellMar>
        </w:tblPrEx>
        <w:trPr>
          <w:trHeight w:val="3106"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3"/>
              <w:rPr>
                <w:b/>
                <w:bCs/>
                <w:color w:val="auto"/>
                <w:highlight w:val="none"/>
              </w:rPr>
            </w:pPr>
          </w:p>
        </w:tc>
      </w:tr>
      <w:tr>
        <w:tblPrEx>
          <w:tblCellMar>
            <w:top w:w="15" w:type="dxa"/>
            <w:left w:w="15" w:type="dxa"/>
            <w:bottom w:w="15" w:type="dxa"/>
            <w:right w:w="15" w:type="dxa"/>
          </w:tblCellMar>
        </w:tblPrEx>
        <w:trPr>
          <w:trHeight w:val="811"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3"/>
              <w:jc w:val="right"/>
              <w:rPr>
                <w:b/>
                <w:bCs/>
                <w:color w:val="auto"/>
                <w:highlight w:val="none"/>
              </w:rPr>
            </w:pPr>
            <w:r>
              <w:rPr>
                <w:rFonts w:hint="eastAsia"/>
                <w:b/>
                <w:bCs/>
                <w:color w:val="auto"/>
                <w:highlight w:val="none"/>
              </w:rPr>
              <w:t>供应商名称：</w:t>
            </w:r>
            <w:r>
              <w:rPr>
                <w:rFonts w:hint="eastAsia"/>
                <w:b/>
                <w:bCs/>
                <w:color w:val="auto"/>
                <w:highlight w:val="none"/>
                <w:u w:val="single"/>
              </w:rPr>
              <w:t xml:space="preserve">                     </w:t>
            </w:r>
            <w:r>
              <w:rPr>
                <w:rFonts w:hint="eastAsia"/>
                <w:b/>
                <w:bCs/>
                <w:color w:val="auto"/>
                <w:highlight w:val="none"/>
              </w:rPr>
              <w:t>(加盖公章)</w:t>
            </w:r>
          </w:p>
        </w:tc>
      </w:tr>
    </w:tbl>
    <w:p>
      <w:pPr>
        <w:pStyle w:val="49"/>
        <w:ind w:firstLine="482"/>
        <w:rPr>
          <w:color w:val="auto"/>
          <w:highlight w:val="none"/>
        </w:rPr>
      </w:pPr>
      <w:r>
        <w:rPr>
          <w:rFonts w:hint="eastAsia"/>
          <w:color w:val="auto"/>
          <w:highlight w:val="none"/>
        </w:rPr>
        <w:t>说明：请贵公司根据</w:t>
      </w:r>
      <w:r>
        <w:rPr>
          <w:rFonts w:hint="eastAsia"/>
          <w:color w:val="auto"/>
          <w:highlight w:val="none"/>
          <w:lang w:eastAsia="zh-CN"/>
        </w:rPr>
        <w:t>采购</w:t>
      </w:r>
      <w:r>
        <w:rPr>
          <w:rFonts w:hint="eastAsia"/>
          <w:color w:val="auto"/>
          <w:highlight w:val="none"/>
        </w:rPr>
        <w:t>代理机构2023年度</w:t>
      </w:r>
      <w:r>
        <w:rPr>
          <w:rFonts w:hint="eastAsia"/>
          <w:color w:val="auto"/>
          <w:highlight w:val="none"/>
          <w:lang w:eastAsia="zh-CN"/>
        </w:rPr>
        <w:t>采购</w:t>
      </w:r>
      <w:r>
        <w:rPr>
          <w:rFonts w:hint="eastAsia"/>
          <w:color w:val="auto"/>
          <w:highlight w:val="none"/>
        </w:rPr>
        <w:t>项目的实际情况，在“满意”、“基本满意”、“一般”、“不满意”四个评价档次栏中选取一栏打“√”，并加盖公章。</w:t>
      </w:r>
    </w:p>
    <w:p>
      <w:pPr>
        <w:rPr>
          <w:color w:val="auto"/>
          <w:highlight w:val="none"/>
        </w:rPr>
      </w:pPr>
      <w:r>
        <w:rPr>
          <w:rFonts w:hint="eastAsia"/>
          <w:color w:val="auto"/>
          <w:highlight w:val="none"/>
        </w:rPr>
        <w:br w:type="page"/>
      </w:r>
    </w:p>
    <w:p>
      <w:pPr>
        <w:pStyle w:val="44"/>
        <w:jc w:val="both"/>
        <w:outlineLvl w:val="2"/>
        <w:rPr>
          <w:rFonts w:cs="宋体"/>
          <w:b/>
          <w:bCs/>
          <w:color w:val="auto"/>
          <w:highlight w:val="none"/>
        </w:rPr>
      </w:pPr>
      <w:bookmarkStart w:id="1331" w:name="_Toc18077"/>
      <w:bookmarkStart w:id="1332" w:name="_Toc13938"/>
      <w:r>
        <w:rPr>
          <w:rFonts w:hint="eastAsia" w:cs="宋体"/>
          <w:b/>
          <w:bCs/>
          <w:color w:val="auto"/>
          <w:highlight w:val="none"/>
        </w:rPr>
        <w:t>附件二： 统计上大中小微型企业划分标准</w:t>
      </w:r>
      <w:bookmarkEnd w:id="1331"/>
      <w:bookmarkEnd w:id="1332"/>
    </w:p>
    <w:tbl>
      <w:tblPr>
        <w:tblStyle w:val="2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1513"/>
        <w:gridCol w:w="910"/>
        <w:gridCol w:w="1188"/>
        <w:gridCol w:w="1799"/>
        <w:gridCol w:w="1507"/>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007" w:type="pct"/>
            <w:vAlign w:val="center"/>
          </w:tcPr>
          <w:p>
            <w:pPr>
              <w:wordWrap w:val="0"/>
              <w:topLinePunct/>
              <w:spacing w:line="280" w:lineRule="exact"/>
              <w:jc w:val="center"/>
              <w:rPr>
                <w:rFonts w:cs="宋体"/>
                <w:b/>
                <w:bCs/>
                <w:color w:val="auto"/>
                <w:kern w:val="0"/>
                <w:sz w:val="18"/>
                <w:szCs w:val="18"/>
                <w:highlight w:val="none"/>
              </w:rPr>
            </w:pPr>
            <w:r>
              <w:rPr>
                <w:rFonts w:hint="eastAsia" w:cs="宋体"/>
                <w:b/>
                <w:bCs/>
                <w:color w:val="auto"/>
                <w:kern w:val="0"/>
                <w:sz w:val="18"/>
                <w:szCs w:val="18"/>
                <w:highlight w:val="none"/>
              </w:rPr>
              <w:t>行业名称</w:t>
            </w:r>
          </w:p>
        </w:tc>
        <w:tc>
          <w:tcPr>
            <w:tcW w:w="758" w:type="pct"/>
            <w:vAlign w:val="center"/>
          </w:tcPr>
          <w:p>
            <w:pPr>
              <w:wordWrap w:val="0"/>
              <w:topLinePunct/>
              <w:spacing w:line="280" w:lineRule="exact"/>
              <w:jc w:val="center"/>
              <w:rPr>
                <w:rFonts w:cs="宋体"/>
                <w:b/>
                <w:bCs/>
                <w:color w:val="auto"/>
                <w:kern w:val="0"/>
                <w:sz w:val="18"/>
                <w:szCs w:val="18"/>
                <w:highlight w:val="none"/>
              </w:rPr>
            </w:pPr>
            <w:r>
              <w:rPr>
                <w:rFonts w:hint="eastAsia" w:cs="宋体"/>
                <w:b/>
                <w:bCs/>
                <w:color w:val="auto"/>
                <w:kern w:val="0"/>
                <w:sz w:val="18"/>
                <w:szCs w:val="18"/>
                <w:highlight w:val="none"/>
              </w:rPr>
              <w:t>指标名称</w:t>
            </w:r>
          </w:p>
        </w:tc>
        <w:tc>
          <w:tcPr>
            <w:tcW w:w="456" w:type="pct"/>
            <w:vAlign w:val="center"/>
          </w:tcPr>
          <w:p>
            <w:pPr>
              <w:wordWrap w:val="0"/>
              <w:topLinePunct/>
              <w:spacing w:line="280" w:lineRule="exact"/>
              <w:jc w:val="center"/>
              <w:rPr>
                <w:rFonts w:cs="宋体"/>
                <w:b/>
                <w:bCs/>
                <w:color w:val="auto"/>
                <w:kern w:val="0"/>
                <w:sz w:val="18"/>
                <w:szCs w:val="18"/>
                <w:highlight w:val="none"/>
              </w:rPr>
            </w:pPr>
            <w:r>
              <w:rPr>
                <w:rFonts w:hint="eastAsia" w:cs="宋体"/>
                <w:b/>
                <w:bCs/>
                <w:color w:val="auto"/>
                <w:kern w:val="0"/>
                <w:sz w:val="18"/>
                <w:szCs w:val="18"/>
                <w:highlight w:val="none"/>
              </w:rPr>
              <w:t>计量</w:t>
            </w:r>
          </w:p>
          <w:p>
            <w:pPr>
              <w:wordWrap w:val="0"/>
              <w:topLinePunct/>
              <w:spacing w:line="280" w:lineRule="exact"/>
              <w:jc w:val="center"/>
              <w:rPr>
                <w:rFonts w:cs="宋体"/>
                <w:b/>
                <w:bCs/>
                <w:color w:val="auto"/>
                <w:kern w:val="0"/>
                <w:sz w:val="18"/>
                <w:szCs w:val="18"/>
                <w:highlight w:val="none"/>
              </w:rPr>
            </w:pPr>
            <w:r>
              <w:rPr>
                <w:rFonts w:hint="eastAsia" w:cs="宋体"/>
                <w:b/>
                <w:bCs/>
                <w:color w:val="auto"/>
                <w:kern w:val="0"/>
                <w:sz w:val="18"/>
                <w:szCs w:val="18"/>
                <w:highlight w:val="none"/>
              </w:rPr>
              <w:t>单位</w:t>
            </w:r>
          </w:p>
        </w:tc>
        <w:tc>
          <w:tcPr>
            <w:tcW w:w="595" w:type="pct"/>
            <w:vAlign w:val="center"/>
          </w:tcPr>
          <w:p>
            <w:pPr>
              <w:wordWrap w:val="0"/>
              <w:topLinePunct/>
              <w:spacing w:line="280" w:lineRule="exact"/>
              <w:jc w:val="center"/>
              <w:rPr>
                <w:rFonts w:cs="宋体"/>
                <w:b/>
                <w:bCs/>
                <w:color w:val="auto"/>
                <w:kern w:val="0"/>
                <w:sz w:val="18"/>
                <w:szCs w:val="18"/>
                <w:highlight w:val="none"/>
              </w:rPr>
            </w:pPr>
            <w:r>
              <w:rPr>
                <w:rFonts w:hint="eastAsia" w:cs="宋体"/>
                <w:b/>
                <w:bCs/>
                <w:color w:val="auto"/>
                <w:kern w:val="0"/>
                <w:sz w:val="18"/>
                <w:szCs w:val="18"/>
                <w:highlight w:val="none"/>
              </w:rPr>
              <w:t>大型</w:t>
            </w:r>
          </w:p>
        </w:tc>
        <w:tc>
          <w:tcPr>
            <w:tcW w:w="901" w:type="pct"/>
            <w:vAlign w:val="center"/>
          </w:tcPr>
          <w:p>
            <w:pPr>
              <w:wordWrap w:val="0"/>
              <w:topLinePunct/>
              <w:spacing w:line="280" w:lineRule="exact"/>
              <w:jc w:val="center"/>
              <w:rPr>
                <w:rFonts w:cs="宋体"/>
                <w:b/>
                <w:bCs/>
                <w:color w:val="auto"/>
                <w:kern w:val="0"/>
                <w:sz w:val="18"/>
                <w:szCs w:val="18"/>
                <w:highlight w:val="none"/>
              </w:rPr>
            </w:pPr>
            <w:r>
              <w:rPr>
                <w:rFonts w:hint="eastAsia" w:cs="宋体"/>
                <w:b/>
                <w:bCs/>
                <w:color w:val="auto"/>
                <w:kern w:val="0"/>
                <w:sz w:val="18"/>
                <w:szCs w:val="18"/>
                <w:highlight w:val="none"/>
              </w:rPr>
              <w:t>中型</w:t>
            </w:r>
          </w:p>
        </w:tc>
        <w:tc>
          <w:tcPr>
            <w:tcW w:w="755" w:type="pct"/>
            <w:vAlign w:val="center"/>
          </w:tcPr>
          <w:p>
            <w:pPr>
              <w:wordWrap w:val="0"/>
              <w:topLinePunct/>
              <w:spacing w:line="280" w:lineRule="exact"/>
              <w:jc w:val="center"/>
              <w:rPr>
                <w:rFonts w:cs="宋体"/>
                <w:b/>
                <w:bCs/>
                <w:color w:val="auto"/>
                <w:kern w:val="0"/>
                <w:sz w:val="18"/>
                <w:szCs w:val="18"/>
                <w:highlight w:val="none"/>
              </w:rPr>
            </w:pPr>
            <w:r>
              <w:rPr>
                <w:rFonts w:hint="eastAsia" w:cs="宋体"/>
                <w:b/>
                <w:bCs/>
                <w:color w:val="auto"/>
                <w:kern w:val="0"/>
                <w:sz w:val="18"/>
                <w:szCs w:val="18"/>
                <w:highlight w:val="none"/>
              </w:rPr>
              <w:t>小型</w:t>
            </w:r>
          </w:p>
        </w:tc>
        <w:tc>
          <w:tcPr>
            <w:tcW w:w="525" w:type="pct"/>
            <w:vAlign w:val="center"/>
          </w:tcPr>
          <w:p>
            <w:pPr>
              <w:wordWrap w:val="0"/>
              <w:topLinePunct/>
              <w:spacing w:line="280" w:lineRule="exact"/>
              <w:jc w:val="center"/>
              <w:rPr>
                <w:rFonts w:cs="宋体"/>
                <w:b/>
                <w:bCs/>
                <w:color w:val="auto"/>
                <w:kern w:val="0"/>
                <w:sz w:val="18"/>
                <w:szCs w:val="18"/>
                <w:highlight w:val="none"/>
              </w:rPr>
            </w:pPr>
            <w:r>
              <w:rPr>
                <w:rFonts w:hint="eastAsia" w:cs="宋体"/>
                <w:b/>
                <w:bCs/>
                <w:color w:val="auto"/>
                <w:kern w:val="0"/>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Align w:val="center"/>
          </w:tcPr>
          <w:p>
            <w:pPr>
              <w:wordWrap w:val="0"/>
              <w:topLinePunct/>
              <w:spacing w:line="280" w:lineRule="exact"/>
              <w:rPr>
                <w:rFonts w:cs="宋体"/>
                <w:color w:val="auto"/>
                <w:kern w:val="0"/>
                <w:sz w:val="18"/>
                <w:szCs w:val="18"/>
                <w:highlight w:val="none"/>
              </w:rPr>
            </w:pPr>
            <w:r>
              <w:rPr>
                <w:rFonts w:hint="eastAsia" w:cs="宋体"/>
                <w:color w:val="auto"/>
                <w:kern w:val="0"/>
                <w:sz w:val="18"/>
                <w:szCs w:val="18"/>
                <w:highlight w:val="none"/>
              </w:rPr>
              <w:t>农、林、牧、渔业</w:t>
            </w: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营业收入(Y)</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万元</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Y≥20000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500≤Y＜20000</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50≤Y＜500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vAlign w:val="center"/>
          </w:tcPr>
          <w:p>
            <w:pPr>
              <w:wordWrap w:val="0"/>
              <w:topLinePunct/>
              <w:spacing w:line="280" w:lineRule="exact"/>
              <w:rPr>
                <w:rFonts w:cs="宋体"/>
                <w:color w:val="auto"/>
                <w:kern w:val="0"/>
                <w:sz w:val="18"/>
                <w:szCs w:val="18"/>
                <w:highlight w:val="none"/>
              </w:rPr>
            </w:pPr>
            <w:r>
              <w:rPr>
                <w:rFonts w:hint="eastAsia" w:cs="宋体"/>
                <w:color w:val="auto"/>
                <w:kern w:val="0"/>
                <w:sz w:val="18"/>
                <w:szCs w:val="18"/>
                <w:highlight w:val="none"/>
              </w:rPr>
              <w:t>工业 *</w:t>
            </w: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从业人员(X)</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人</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X≥1000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300≤X＜1000</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20≤X＜300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vAlign w:val="center"/>
          </w:tcPr>
          <w:p>
            <w:pPr>
              <w:wordWrap w:val="0"/>
              <w:topLinePunct/>
              <w:spacing w:line="280" w:lineRule="exact"/>
              <w:rPr>
                <w:rFonts w:cs="宋体"/>
                <w:color w:val="auto"/>
                <w:kern w:val="0"/>
                <w:sz w:val="18"/>
                <w:szCs w:val="18"/>
                <w:highlight w:val="none"/>
              </w:rPr>
            </w:pP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营业收入(Y)</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万元</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Y≥40000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2000≤Y＜40000</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300≤Y＜2000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vAlign w:val="center"/>
          </w:tcPr>
          <w:p>
            <w:pPr>
              <w:wordWrap w:val="0"/>
              <w:topLinePunct/>
              <w:spacing w:line="280" w:lineRule="exact"/>
              <w:rPr>
                <w:rFonts w:cs="宋体"/>
                <w:color w:val="auto"/>
                <w:kern w:val="0"/>
                <w:sz w:val="18"/>
                <w:szCs w:val="18"/>
                <w:highlight w:val="none"/>
              </w:rPr>
            </w:pPr>
            <w:r>
              <w:rPr>
                <w:rFonts w:hint="eastAsia" w:cs="宋体"/>
                <w:color w:val="auto"/>
                <w:kern w:val="0"/>
                <w:sz w:val="18"/>
                <w:szCs w:val="18"/>
                <w:highlight w:val="none"/>
              </w:rPr>
              <w:t>建筑业</w:t>
            </w: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营业收入(Y)</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万元</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Y≥80000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6000≤Y＜80000</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300≤Y＜6000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vAlign w:val="center"/>
          </w:tcPr>
          <w:p>
            <w:pPr>
              <w:wordWrap w:val="0"/>
              <w:topLinePunct/>
              <w:spacing w:line="280" w:lineRule="exact"/>
              <w:rPr>
                <w:rFonts w:cs="宋体"/>
                <w:color w:val="auto"/>
                <w:kern w:val="0"/>
                <w:sz w:val="18"/>
                <w:szCs w:val="18"/>
                <w:highlight w:val="none"/>
              </w:rPr>
            </w:pP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资产总额(Z)</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万元</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Z≥80000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5000≤Z＜80000</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300≤Z＜5000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vAlign w:val="center"/>
          </w:tcPr>
          <w:p>
            <w:pPr>
              <w:wordWrap w:val="0"/>
              <w:topLinePunct/>
              <w:spacing w:line="280" w:lineRule="exact"/>
              <w:rPr>
                <w:rFonts w:cs="宋体"/>
                <w:color w:val="auto"/>
                <w:kern w:val="0"/>
                <w:sz w:val="18"/>
                <w:szCs w:val="18"/>
                <w:highlight w:val="none"/>
              </w:rPr>
            </w:pPr>
            <w:r>
              <w:rPr>
                <w:rFonts w:hint="eastAsia" w:cs="宋体"/>
                <w:color w:val="auto"/>
                <w:kern w:val="0"/>
                <w:sz w:val="18"/>
                <w:szCs w:val="18"/>
                <w:highlight w:val="none"/>
              </w:rPr>
              <w:t>批发业</w:t>
            </w: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从业人员(X)</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人</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X≥200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20≤X＜200</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5≤X＜20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vAlign w:val="center"/>
          </w:tcPr>
          <w:p>
            <w:pPr>
              <w:wordWrap w:val="0"/>
              <w:topLinePunct/>
              <w:spacing w:line="280" w:lineRule="exact"/>
              <w:rPr>
                <w:rFonts w:cs="宋体"/>
                <w:color w:val="auto"/>
                <w:kern w:val="0"/>
                <w:sz w:val="18"/>
                <w:szCs w:val="18"/>
                <w:highlight w:val="none"/>
              </w:rPr>
            </w:pP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营业收入(Y)</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万元</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Y≥40000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5000≤Y＜40000</w:t>
            </w:r>
          </w:p>
        </w:tc>
        <w:tc>
          <w:tcPr>
            <w:tcW w:w="755" w:type="pct"/>
            <w:vAlign w:val="center"/>
          </w:tcPr>
          <w:p>
            <w:pPr>
              <w:wordWrap w:val="0"/>
              <w:topLinePunct/>
              <w:spacing w:line="280" w:lineRule="exact"/>
              <w:ind w:hanging="1"/>
              <w:jc w:val="center"/>
              <w:rPr>
                <w:rFonts w:cs="宋体"/>
                <w:color w:val="auto"/>
                <w:kern w:val="0"/>
                <w:sz w:val="18"/>
                <w:szCs w:val="18"/>
                <w:highlight w:val="none"/>
              </w:rPr>
            </w:pPr>
            <w:r>
              <w:rPr>
                <w:rFonts w:hint="eastAsia" w:cs="宋体"/>
                <w:color w:val="auto"/>
                <w:kern w:val="0"/>
                <w:sz w:val="18"/>
                <w:szCs w:val="18"/>
                <w:highlight w:val="none"/>
              </w:rPr>
              <w:t>1000≤Y＜5000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vAlign w:val="center"/>
          </w:tcPr>
          <w:p>
            <w:pPr>
              <w:wordWrap w:val="0"/>
              <w:topLinePunct/>
              <w:spacing w:line="280" w:lineRule="exact"/>
              <w:rPr>
                <w:rFonts w:cs="宋体"/>
                <w:color w:val="auto"/>
                <w:kern w:val="0"/>
                <w:sz w:val="18"/>
                <w:szCs w:val="18"/>
                <w:highlight w:val="none"/>
              </w:rPr>
            </w:pPr>
            <w:r>
              <w:rPr>
                <w:rFonts w:hint="eastAsia" w:cs="宋体"/>
                <w:color w:val="auto"/>
                <w:kern w:val="0"/>
                <w:sz w:val="18"/>
                <w:szCs w:val="18"/>
                <w:highlight w:val="none"/>
              </w:rPr>
              <w:t>零售业</w:t>
            </w: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从业人员(X)</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人</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X≥300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50≤X＜300</w:t>
            </w:r>
          </w:p>
        </w:tc>
        <w:tc>
          <w:tcPr>
            <w:tcW w:w="755" w:type="pct"/>
            <w:vAlign w:val="center"/>
          </w:tcPr>
          <w:p>
            <w:pPr>
              <w:wordWrap w:val="0"/>
              <w:topLinePunct/>
              <w:spacing w:line="280" w:lineRule="exact"/>
              <w:ind w:hanging="1"/>
              <w:jc w:val="center"/>
              <w:rPr>
                <w:rFonts w:cs="宋体"/>
                <w:color w:val="auto"/>
                <w:kern w:val="0"/>
                <w:sz w:val="18"/>
                <w:szCs w:val="18"/>
                <w:highlight w:val="none"/>
              </w:rPr>
            </w:pPr>
            <w:r>
              <w:rPr>
                <w:rFonts w:hint="eastAsia" w:cs="宋体"/>
                <w:color w:val="auto"/>
                <w:kern w:val="0"/>
                <w:sz w:val="18"/>
                <w:szCs w:val="18"/>
                <w:highlight w:val="none"/>
              </w:rPr>
              <w:t xml:space="preserve">10≤X＜50 </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vAlign w:val="center"/>
          </w:tcPr>
          <w:p>
            <w:pPr>
              <w:wordWrap w:val="0"/>
              <w:topLinePunct/>
              <w:spacing w:line="280" w:lineRule="exact"/>
              <w:rPr>
                <w:rFonts w:cs="宋体"/>
                <w:color w:val="auto"/>
                <w:kern w:val="0"/>
                <w:sz w:val="18"/>
                <w:szCs w:val="18"/>
                <w:highlight w:val="none"/>
              </w:rPr>
            </w:pP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营业收入(Y)</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万元</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Y≥20000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500≤Y＜20000</w:t>
            </w:r>
          </w:p>
        </w:tc>
        <w:tc>
          <w:tcPr>
            <w:tcW w:w="755" w:type="pct"/>
            <w:vAlign w:val="center"/>
          </w:tcPr>
          <w:p>
            <w:pPr>
              <w:wordWrap w:val="0"/>
              <w:topLinePunct/>
              <w:spacing w:line="280" w:lineRule="exact"/>
              <w:ind w:hanging="1"/>
              <w:jc w:val="center"/>
              <w:rPr>
                <w:rFonts w:cs="宋体"/>
                <w:color w:val="auto"/>
                <w:kern w:val="0"/>
                <w:sz w:val="18"/>
                <w:szCs w:val="18"/>
                <w:highlight w:val="none"/>
              </w:rPr>
            </w:pPr>
            <w:r>
              <w:rPr>
                <w:rFonts w:hint="eastAsia" w:cs="宋体"/>
                <w:color w:val="auto"/>
                <w:kern w:val="0"/>
                <w:sz w:val="18"/>
                <w:szCs w:val="18"/>
                <w:highlight w:val="none"/>
              </w:rPr>
              <w:t xml:space="preserve">100≤Y＜500 </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vAlign w:val="center"/>
          </w:tcPr>
          <w:p>
            <w:pPr>
              <w:wordWrap w:val="0"/>
              <w:topLinePunct/>
              <w:spacing w:line="280" w:lineRule="exact"/>
              <w:rPr>
                <w:rFonts w:cs="宋体"/>
                <w:color w:val="auto"/>
                <w:kern w:val="0"/>
                <w:sz w:val="18"/>
                <w:szCs w:val="18"/>
                <w:highlight w:val="none"/>
              </w:rPr>
            </w:pPr>
            <w:r>
              <w:rPr>
                <w:rFonts w:hint="eastAsia" w:cs="宋体"/>
                <w:color w:val="auto"/>
                <w:kern w:val="0"/>
                <w:sz w:val="18"/>
                <w:szCs w:val="18"/>
                <w:highlight w:val="none"/>
              </w:rPr>
              <w:t>交通运输业 *</w:t>
            </w: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从业人员(X)</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人</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X≥1000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300≤X＜1000</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20≤X＜300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vAlign w:val="center"/>
          </w:tcPr>
          <w:p>
            <w:pPr>
              <w:wordWrap w:val="0"/>
              <w:topLinePunct/>
              <w:spacing w:line="280" w:lineRule="exact"/>
              <w:rPr>
                <w:rFonts w:cs="宋体"/>
                <w:color w:val="auto"/>
                <w:kern w:val="0"/>
                <w:sz w:val="18"/>
                <w:szCs w:val="18"/>
                <w:highlight w:val="none"/>
              </w:rPr>
            </w:pP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营业收入(Y)</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万元</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Y≥30000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3000≤Y＜30000</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200≤Y＜3000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vAlign w:val="center"/>
          </w:tcPr>
          <w:p>
            <w:pPr>
              <w:wordWrap w:val="0"/>
              <w:topLinePunct/>
              <w:spacing w:line="280" w:lineRule="exact"/>
              <w:rPr>
                <w:rFonts w:cs="宋体"/>
                <w:color w:val="auto"/>
                <w:kern w:val="0"/>
                <w:sz w:val="18"/>
                <w:szCs w:val="18"/>
                <w:highlight w:val="none"/>
              </w:rPr>
            </w:pPr>
            <w:r>
              <w:rPr>
                <w:rFonts w:hint="eastAsia" w:cs="宋体"/>
                <w:color w:val="auto"/>
                <w:kern w:val="0"/>
                <w:sz w:val="18"/>
                <w:szCs w:val="18"/>
                <w:highlight w:val="none"/>
              </w:rPr>
              <w:t>仓储业*</w:t>
            </w: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从业人员(X)</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人</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X≥200</w:t>
            </w:r>
          </w:p>
        </w:tc>
        <w:tc>
          <w:tcPr>
            <w:tcW w:w="901" w:type="pct"/>
            <w:vAlign w:val="center"/>
          </w:tcPr>
          <w:p>
            <w:pPr>
              <w:wordWrap w:val="0"/>
              <w:topLinePunct/>
              <w:spacing w:line="280" w:lineRule="exact"/>
              <w:ind w:left="108" w:hanging="108" w:hangingChars="60"/>
              <w:jc w:val="center"/>
              <w:rPr>
                <w:rFonts w:cs="宋体"/>
                <w:color w:val="auto"/>
                <w:kern w:val="0"/>
                <w:sz w:val="18"/>
                <w:szCs w:val="18"/>
                <w:highlight w:val="none"/>
              </w:rPr>
            </w:pPr>
            <w:r>
              <w:rPr>
                <w:rFonts w:hint="eastAsia" w:cs="宋体"/>
                <w:color w:val="auto"/>
                <w:kern w:val="0"/>
                <w:sz w:val="18"/>
                <w:szCs w:val="18"/>
                <w:highlight w:val="none"/>
              </w:rPr>
              <w:t>100≤X＜200</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20≤X＜100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vAlign w:val="center"/>
          </w:tcPr>
          <w:p>
            <w:pPr>
              <w:wordWrap w:val="0"/>
              <w:topLinePunct/>
              <w:spacing w:line="280" w:lineRule="exact"/>
              <w:rPr>
                <w:rFonts w:cs="宋体"/>
                <w:color w:val="auto"/>
                <w:kern w:val="0"/>
                <w:sz w:val="18"/>
                <w:szCs w:val="18"/>
                <w:highlight w:val="none"/>
              </w:rPr>
            </w:pP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营业收入(Y)</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万元</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Y≥30000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1000≤Y＜30000</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100≤Y＜1000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vAlign w:val="center"/>
          </w:tcPr>
          <w:p>
            <w:pPr>
              <w:wordWrap w:val="0"/>
              <w:topLinePunct/>
              <w:spacing w:line="280" w:lineRule="exact"/>
              <w:rPr>
                <w:rFonts w:cs="宋体"/>
                <w:color w:val="auto"/>
                <w:kern w:val="0"/>
                <w:sz w:val="18"/>
                <w:szCs w:val="18"/>
                <w:highlight w:val="none"/>
              </w:rPr>
            </w:pPr>
            <w:r>
              <w:rPr>
                <w:rFonts w:hint="eastAsia" w:cs="宋体"/>
                <w:color w:val="auto"/>
                <w:kern w:val="0"/>
                <w:sz w:val="18"/>
                <w:szCs w:val="18"/>
                <w:highlight w:val="none"/>
              </w:rPr>
              <w:t>邮政业</w:t>
            </w: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从业人员(X)</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人</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X≥1000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300≤X＜1000</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20≤X＜300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vAlign w:val="center"/>
          </w:tcPr>
          <w:p>
            <w:pPr>
              <w:wordWrap w:val="0"/>
              <w:topLinePunct/>
              <w:spacing w:line="280" w:lineRule="exact"/>
              <w:rPr>
                <w:rFonts w:cs="宋体"/>
                <w:color w:val="auto"/>
                <w:kern w:val="0"/>
                <w:sz w:val="18"/>
                <w:szCs w:val="18"/>
                <w:highlight w:val="none"/>
              </w:rPr>
            </w:pP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营业收入(Y)</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万元</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Y≥30000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2000≤Y＜30000</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100≤Y＜2000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vAlign w:val="center"/>
          </w:tcPr>
          <w:p>
            <w:pPr>
              <w:wordWrap w:val="0"/>
              <w:topLinePunct/>
              <w:spacing w:line="280" w:lineRule="exact"/>
              <w:rPr>
                <w:rFonts w:cs="宋体"/>
                <w:color w:val="auto"/>
                <w:kern w:val="0"/>
                <w:sz w:val="18"/>
                <w:szCs w:val="18"/>
                <w:highlight w:val="none"/>
              </w:rPr>
            </w:pPr>
            <w:r>
              <w:rPr>
                <w:rFonts w:hint="eastAsia" w:cs="宋体"/>
                <w:color w:val="auto"/>
                <w:kern w:val="0"/>
                <w:sz w:val="18"/>
                <w:szCs w:val="18"/>
                <w:highlight w:val="none"/>
              </w:rPr>
              <w:t>住宿业</w:t>
            </w: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从业人员(X)</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人</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X≥300</w:t>
            </w:r>
          </w:p>
        </w:tc>
        <w:tc>
          <w:tcPr>
            <w:tcW w:w="901" w:type="pct"/>
            <w:vAlign w:val="center"/>
          </w:tcPr>
          <w:p>
            <w:pPr>
              <w:wordWrap w:val="0"/>
              <w:topLinePunct/>
              <w:spacing w:line="280" w:lineRule="exact"/>
              <w:ind w:left="108" w:hanging="108" w:hangingChars="60"/>
              <w:jc w:val="center"/>
              <w:rPr>
                <w:rFonts w:cs="宋体"/>
                <w:color w:val="auto"/>
                <w:kern w:val="0"/>
                <w:sz w:val="18"/>
                <w:szCs w:val="18"/>
                <w:highlight w:val="none"/>
              </w:rPr>
            </w:pPr>
            <w:r>
              <w:rPr>
                <w:rFonts w:hint="eastAsia" w:cs="宋体"/>
                <w:color w:val="auto"/>
                <w:kern w:val="0"/>
                <w:sz w:val="18"/>
                <w:szCs w:val="18"/>
                <w:highlight w:val="none"/>
              </w:rPr>
              <w:t xml:space="preserve">100≤X＜300 </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10≤X＜100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vAlign w:val="center"/>
          </w:tcPr>
          <w:p>
            <w:pPr>
              <w:wordWrap w:val="0"/>
              <w:topLinePunct/>
              <w:spacing w:line="280" w:lineRule="exact"/>
              <w:rPr>
                <w:rFonts w:cs="宋体"/>
                <w:color w:val="auto"/>
                <w:kern w:val="0"/>
                <w:sz w:val="18"/>
                <w:szCs w:val="18"/>
                <w:highlight w:val="none"/>
              </w:rPr>
            </w:pP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营业收入(Y)</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万元</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Y≥10000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2000≤Y＜10000</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100≤Y＜2000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vAlign w:val="center"/>
          </w:tcPr>
          <w:p>
            <w:pPr>
              <w:wordWrap w:val="0"/>
              <w:topLinePunct/>
              <w:spacing w:line="280" w:lineRule="exact"/>
              <w:rPr>
                <w:rFonts w:cs="宋体"/>
                <w:color w:val="auto"/>
                <w:kern w:val="0"/>
                <w:sz w:val="18"/>
                <w:szCs w:val="18"/>
                <w:highlight w:val="none"/>
              </w:rPr>
            </w:pPr>
            <w:r>
              <w:rPr>
                <w:rFonts w:hint="eastAsia" w:cs="宋体"/>
                <w:color w:val="auto"/>
                <w:kern w:val="0"/>
                <w:sz w:val="18"/>
                <w:szCs w:val="18"/>
                <w:highlight w:val="none"/>
              </w:rPr>
              <w:t>餐饮业</w:t>
            </w: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从业人员(X)</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人</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X≥300</w:t>
            </w:r>
          </w:p>
        </w:tc>
        <w:tc>
          <w:tcPr>
            <w:tcW w:w="901" w:type="pct"/>
            <w:vAlign w:val="center"/>
          </w:tcPr>
          <w:p>
            <w:pPr>
              <w:wordWrap w:val="0"/>
              <w:topLinePunct/>
              <w:spacing w:line="280" w:lineRule="exact"/>
              <w:ind w:left="108" w:hanging="108" w:hangingChars="60"/>
              <w:jc w:val="center"/>
              <w:rPr>
                <w:rFonts w:cs="宋体"/>
                <w:color w:val="auto"/>
                <w:kern w:val="0"/>
                <w:sz w:val="18"/>
                <w:szCs w:val="18"/>
                <w:highlight w:val="none"/>
              </w:rPr>
            </w:pPr>
            <w:r>
              <w:rPr>
                <w:rFonts w:hint="eastAsia" w:cs="宋体"/>
                <w:color w:val="auto"/>
                <w:kern w:val="0"/>
                <w:sz w:val="18"/>
                <w:szCs w:val="18"/>
                <w:highlight w:val="none"/>
              </w:rPr>
              <w:t xml:space="preserve">100≤X＜300 </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10≤X＜100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vAlign w:val="center"/>
          </w:tcPr>
          <w:p>
            <w:pPr>
              <w:wordWrap w:val="0"/>
              <w:topLinePunct/>
              <w:spacing w:line="280" w:lineRule="exact"/>
              <w:rPr>
                <w:rFonts w:cs="宋体"/>
                <w:color w:val="auto"/>
                <w:kern w:val="0"/>
                <w:sz w:val="18"/>
                <w:szCs w:val="18"/>
                <w:highlight w:val="none"/>
              </w:rPr>
            </w:pP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营业收入(Y)</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万元</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Y≥10000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2000≤Y＜10000</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100≤Y＜2000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vAlign w:val="center"/>
          </w:tcPr>
          <w:p>
            <w:pPr>
              <w:wordWrap w:val="0"/>
              <w:topLinePunct/>
              <w:spacing w:line="280" w:lineRule="exact"/>
              <w:rPr>
                <w:rFonts w:cs="宋体"/>
                <w:color w:val="auto"/>
                <w:kern w:val="0"/>
                <w:sz w:val="18"/>
                <w:szCs w:val="18"/>
                <w:highlight w:val="none"/>
              </w:rPr>
            </w:pPr>
            <w:r>
              <w:rPr>
                <w:rFonts w:hint="eastAsia" w:cs="宋体"/>
                <w:color w:val="auto"/>
                <w:kern w:val="0"/>
                <w:sz w:val="18"/>
                <w:szCs w:val="18"/>
                <w:highlight w:val="none"/>
              </w:rPr>
              <w:t>信息传输业 *</w:t>
            </w: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从业人员(X)</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人</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X≥2000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100≤X＜2000</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10≤X＜100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vAlign w:val="center"/>
          </w:tcPr>
          <w:p>
            <w:pPr>
              <w:wordWrap w:val="0"/>
              <w:topLinePunct/>
              <w:spacing w:line="280" w:lineRule="exact"/>
              <w:rPr>
                <w:rFonts w:cs="宋体"/>
                <w:color w:val="auto"/>
                <w:kern w:val="0"/>
                <w:sz w:val="18"/>
                <w:szCs w:val="18"/>
                <w:highlight w:val="none"/>
              </w:rPr>
            </w:pP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营业收入(Y)</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万元</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Y≥100000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1000≤Y＜100000</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100≤Y＜1000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vAlign w:val="center"/>
          </w:tcPr>
          <w:p>
            <w:pPr>
              <w:wordWrap w:val="0"/>
              <w:topLinePunct/>
              <w:spacing w:line="280" w:lineRule="exact"/>
              <w:rPr>
                <w:rFonts w:cs="宋体"/>
                <w:color w:val="auto"/>
                <w:spacing w:val="-12"/>
                <w:kern w:val="0"/>
                <w:sz w:val="18"/>
                <w:szCs w:val="18"/>
                <w:highlight w:val="none"/>
              </w:rPr>
            </w:pPr>
            <w:r>
              <w:rPr>
                <w:rFonts w:hint="eastAsia" w:cs="宋体"/>
                <w:color w:val="auto"/>
                <w:spacing w:val="-12"/>
                <w:kern w:val="0"/>
                <w:sz w:val="18"/>
                <w:szCs w:val="18"/>
                <w:highlight w:val="none"/>
              </w:rPr>
              <w:t>软件和信息技术服</w:t>
            </w:r>
            <w:r>
              <w:rPr>
                <w:rFonts w:hint="eastAsia" w:cs="宋体"/>
                <w:color w:val="auto"/>
                <w:kern w:val="0"/>
                <w:sz w:val="18"/>
                <w:szCs w:val="18"/>
                <w:highlight w:val="none"/>
              </w:rPr>
              <w:t>务业</w:t>
            </w: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从业人员(X)</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人</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X≥300</w:t>
            </w:r>
          </w:p>
        </w:tc>
        <w:tc>
          <w:tcPr>
            <w:tcW w:w="901" w:type="pct"/>
            <w:vAlign w:val="center"/>
          </w:tcPr>
          <w:p>
            <w:pPr>
              <w:wordWrap w:val="0"/>
              <w:topLinePunct/>
              <w:spacing w:line="280" w:lineRule="exact"/>
              <w:ind w:left="108" w:hanging="108" w:hangingChars="60"/>
              <w:jc w:val="center"/>
              <w:rPr>
                <w:rFonts w:cs="宋体"/>
                <w:color w:val="auto"/>
                <w:kern w:val="0"/>
                <w:sz w:val="18"/>
                <w:szCs w:val="18"/>
                <w:highlight w:val="none"/>
              </w:rPr>
            </w:pPr>
            <w:r>
              <w:rPr>
                <w:rFonts w:hint="eastAsia" w:cs="宋体"/>
                <w:color w:val="auto"/>
                <w:kern w:val="0"/>
                <w:sz w:val="18"/>
                <w:szCs w:val="18"/>
                <w:highlight w:val="none"/>
              </w:rPr>
              <w:t xml:space="preserve">100≤X＜300 </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10≤X＜100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vAlign w:val="center"/>
          </w:tcPr>
          <w:p>
            <w:pPr>
              <w:wordWrap w:val="0"/>
              <w:topLinePunct/>
              <w:spacing w:line="280" w:lineRule="exact"/>
              <w:rPr>
                <w:rFonts w:cs="宋体"/>
                <w:color w:val="auto"/>
                <w:spacing w:val="-12"/>
                <w:kern w:val="0"/>
                <w:sz w:val="18"/>
                <w:szCs w:val="18"/>
                <w:highlight w:val="none"/>
              </w:rPr>
            </w:pP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营业收入(Y)</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万元</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Y≥10000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1000≤Y＜10000</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50≤Y＜1000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vAlign w:val="center"/>
          </w:tcPr>
          <w:p>
            <w:pPr>
              <w:wordWrap w:val="0"/>
              <w:topLinePunct/>
              <w:spacing w:line="280" w:lineRule="exact"/>
              <w:rPr>
                <w:rFonts w:cs="宋体"/>
                <w:color w:val="auto"/>
                <w:kern w:val="0"/>
                <w:sz w:val="18"/>
                <w:szCs w:val="18"/>
                <w:highlight w:val="none"/>
              </w:rPr>
            </w:pPr>
            <w:r>
              <w:rPr>
                <w:rFonts w:hint="eastAsia" w:cs="宋体"/>
                <w:color w:val="auto"/>
                <w:kern w:val="0"/>
                <w:sz w:val="18"/>
                <w:szCs w:val="18"/>
                <w:highlight w:val="none"/>
              </w:rPr>
              <w:t>房地产开发经营</w:t>
            </w: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营业收入(Y)</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万元</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Y≥200000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1000≤Y＜200000</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100≤Y＜1000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vAlign w:val="center"/>
          </w:tcPr>
          <w:p>
            <w:pPr>
              <w:wordWrap w:val="0"/>
              <w:topLinePunct/>
              <w:spacing w:line="280" w:lineRule="exact"/>
              <w:rPr>
                <w:rFonts w:cs="宋体"/>
                <w:color w:val="auto"/>
                <w:kern w:val="0"/>
                <w:sz w:val="18"/>
                <w:szCs w:val="18"/>
                <w:highlight w:val="none"/>
              </w:rPr>
            </w:pP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资产总额(Z)</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万元</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Z≥10000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5000≤Z＜10000</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2000≤Z＜5000 </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vAlign w:val="center"/>
          </w:tcPr>
          <w:p>
            <w:pPr>
              <w:wordWrap w:val="0"/>
              <w:topLinePunct/>
              <w:spacing w:line="280" w:lineRule="exact"/>
              <w:rPr>
                <w:rFonts w:cs="宋体"/>
                <w:color w:val="auto"/>
                <w:kern w:val="0"/>
                <w:sz w:val="18"/>
                <w:szCs w:val="18"/>
                <w:highlight w:val="none"/>
              </w:rPr>
            </w:pPr>
            <w:r>
              <w:rPr>
                <w:rFonts w:hint="eastAsia" w:cs="宋体"/>
                <w:color w:val="auto"/>
                <w:kern w:val="0"/>
                <w:sz w:val="18"/>
                <w:szCs w:val="18"/>
                <w:highlight w:val="none"/>
              </w:rPr>
              <w:t>物业管理</w:t>
            </w: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从业人员(X)</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人</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X≥1000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300≤X＜1000</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100≤X＜300 </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vAlign w:val="center"/>
          </w:tcPr>
          <w:p>
            <w:pPr>
              <w:wordWrap w:val="0"/>
              <w:topLinePunct/>
              <w:spacing w:line="280" w:lineRule="exact"/>
              <w:rPr>
                <w:rFonts w:cs="宋体"/>
                <w:color w:val="auto"/>
                <w:kern w:val="0"/>
                <w:sz w:val="18"/>
                <w:szCs w:val="18"/>
                <w:highlight w:val="none"/>
              </w:rPr>
            </w:pP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营业收入(Y)</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万元</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Y≥5000</w:t>
            </w:r>
          </w:p>
        </w:tc>
        <w:tc>
          <w:tcPr>
            <w:tcW w:w="901" w:type="pct"/>
            <w:vAlign w:val="center"/>
          </w:tcPr>
          <w:p>
            <w:pPr>
              <w:wordWrap w:val="0"/>
              <w:topLinePunct/>
              <w:spacing w:line="280" w:lineRule="exact"/>
              <w:ind w:left="108" w:hanging="108" w:hangingChars="60"/>
              <w:jc w:val="center"/>
              <w:rPr>
                <w:rFonts w:cs="宋体"/>
                <w:color w:val="auto"/>
                <w:kern w:val="0"/>
                <w:sz w:val="18"/>
                <w:szCs w:val="18"/>
                <w:highlight w:val="none"/>
              </w:rPr>
            </w:pPr>
            <w:r>
              <w:rPr>
                <w:rFonts w:hint="eastAsia" w:cs="宋体"/>
                <w:color w:val="auto"/>
                <w:kern w:val="0"/>
                <w:sz w:val="18"/>
                <w:szCs w:val="18"/>
                <w:highlight w:val="none"/>
              </w:rPr>
              <w:t xml:space="preserve">1000≤Y＜5000 </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500≤Y＜1000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restart"/>
            <w:vAlign w:val="center"/>
          </w:tcPr>
          <w:p>
            <w:pPr>
              <w:wordWrap w:val="0"/>
              <w:topLinePunct/>
              <w:spacing w:line="280" w:lineRule="exact"/>
              <w:rPr>
                <w:rFonts w:cs="宋体"/>
                <w:color w:val="auto"/>
                <w:kern w:val="0"/>
                <w:sz w:val="18"/>
                <w:szCs w:val="18"/>
                <w:highlight w:val="none"/>
              </w:rPr>
            </w:pPr>
            <w:r>
              <w:rPr>
                <w:rFonts w:hint="eastAsia" w:cs="宋体"/>
                <w:color w:val="auto"/>
                <w:kern w:val="0"/>
                <w:sz w:val="18"/>
                <w:szCs w:val="18"/>
                <w:highlight w:val="none"/>
              </w:rPr>
              <w:t>租赁和商务服务业</w:t>
            </w: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从业人员(X)</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人</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X≥300</w:t>
            </w:r>
          </w:p>
        </w:tc>
        <w:tc>
          <w:tcPr>
            <w:tcW w:w="901" w:type="pct"/>
            <w:vAlign w:val="center"/>
          </w:tcPr>
          <w:p>
            <w:pPr>
              <w:wordWrap w:val="0"/>
              <w:topLinePunct/>
              <w:spacing w:line="280" w:lineRule="exact"/>
              <w:ind w:left="108" w:hanging="108" w:hangingChars="60"/>
              <w:jc w:val="center"/>
              <w:rPr>
                <w:rFonts w:cs="宋体"/>
                <w:color w:val="auto"/>
                <w:kern w:val="0"/>
                <w:sz w:val="18"/>
                <w:szCs w:val="18"/>
                <w:highlight w:val="none"/>
              </w:rPr>
            </w:pPr>
            <w:r>
              <w:rPr>
                <w:rFonts w:hint="eastAsia" w:cs="宋体"/>
                <w:color w:val="auto"/>
                <w:kern w:val="0"/>
                <w:sz w:val="18"/>
                <w:szCs w:val="18"/>
                <w:highlight w:val="none"/>
              </w:rPr>
              <w:t xml:space="preserve">100≤X＜300 </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10≤X＜100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07" w:type="pct"/>
            <w:vMerge w:val="continue"/>
            <w:vAlign w:val="center"/>
          </w:tcPr>
          <w:p>
            <w:pPr>
              <w:wordWrap w:val="0"/>
              <w:topLinePunct/>
              <w:spacing w:line="280" w:lineRule="exact"/>
              <w:rPr>
                <w:rFonts w:cs="宋体"/>
                <w:color w:val="auto"/>
                <w:kern w:val="0"/>
                <w:sz w:val="18"/>
                <w:szCs w:val="18"/>
                <w:highlight w:val="none"/>
              </w:rPr>
            </w:pP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资产总额(Z)</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万元</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Z≥120000</w:t>
            </w:r>
          </w:p>
        </w:tc>
        <w:tc>
          <w:tcPr>
            <w:tcW w:w="901"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8000≤Z＜120000</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100≤Z＜8000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007" w:type="pct"/>
            <w:vAlign w:val="center"/>
          </w:tcPr>
          <w:p>
            <w:pPr>
              <w:wordWrap w:val="0"/>
              <w:topLinePunct/>
              <w:spacing w:line="280" w:lineRule="exact"/>
              <w:rPr>
                <w:rFonts w:cs="宋体"/>
                <w:color w:val="auto"/>
                <w:kern w:val="0"/>
                <w:sz w:val="18"/>
                <w:szCs w:val="18"/>
                <w:highlight w:val="none"/>
              </w:rPr>
            </w:pPr>
            <w:r>
              <w:rPr>
                <w:rFonts w:hint="eastAsia" w:cs="宋体"/>
                <w:color w:val="auto"/>
                <w:kern w:val="0"/>
                <w:sz w:val="18"/>
                <w:szCs w:val="18"/>
                <w:highlight w:val="none"/>
              </w:rPr>
              <w:t>其他未列明行业 *</w:t>
            </w:r>
          </w:p>
        </w:tc>
        <w:tc>
          <w:tcPr>
            <w:tcW w:w="758"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从业人员(X)</w:t>
            </w:r>
          </w:p>
        </w:tc>
        <w:tc>
          <w:tcPr>
            <w:tcW w:w="456"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人</w:t>
            </w:r>
          </w:p>
        </w:tc>
        <w:tc>
          <w:tcPr>
            <w:tcW w:w="59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X≥300</w:t>
            </w:r>
          </w:p>
        </w:tc>
        <w:tc>
          <w:tcPr>
            <w:tcW w:w="901" w:type="pct"/>
            <w:vAlign w:val="center"/>
          </w:tcPr>
          <w:p>
            <w:pPr>
              <w:wordWrap w:val="0"/>
              <w:topLinePunct/>
              <w:spacing w:line="280" w:lineRule="exact"/>
              <w:ind w:left="108" w:hanging="108" w:hangingChars="60"/>
              <w:jc w:val="center"/>
              <w:rPr>
                <w:rFonts w:cs="宋体"/>
                <w:color w:val="auto"/>
                <w:kern w:val="0"/>
                <w:sz w:val="18"/>
                <w:szCs w:val="18"/>
                <w:highlight w:val="none"/>
              </w:rPr>
            </w:pPr>
            <w:r>
              <w:rPr>
                <w:rFonts w:hint="eastAsia" w:cs="宋体"/>
                <w:color w:val="auto"/>
                <w:kern w:val="0"/>
                <w:sz w:val="18"/>
                <w:szCs w:val="18"/>
                <w:highlight w:val="none"/>
              </w:rPr>
              <w:t xml:space="preserve">100≤X＜300 </w:t>
            </w:r>
          </w:p>
        </w:tc>
        <w:tc>
          <w:tcPr>
            <w:tcW w:w="75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 xml:space="preserve"> 10≤X＜100</w:t>
            </w:r>
          </w:p>
        </w:tc>
        <w:tc>
          <w:tcPr>
            <w:tcW w:w="525" w:type="pct"/>
            <w:vAlign w:val="center"/>
          </w:tcPr>
          <w:p>
            <w:pPr>
              <w:wordWrap w:val="0"/>
              <w:topLinePunct/>
              <w:spacing w:line="280" w:lineRule="exact"/>
              <w:jc w:val="center"/>
              <w:rPr>
                <w:rFonts w:cs="宋体"/>
                <w:color w:val="auto"/>
                <w:kern w:val="0"/>
                <w:sz w:val="18"/>
                <w:szCs w:val="18"/>
                <w:highlight w:val="none"/>
              </w:rPr>
            </w:pPr>
            <w:r>
              <w:rPr>
                <w:rFonts w:hint="eastAsia" w:cs="宋体"/>
                <w:color w:val="auto"/>
                <w:kern w:val="0"/>
                <w:sz w:val="18"/>
                <w:szCs w:val="18"/>
                <w:highlight w:val="none"/>
              </w:rPr>
              <w:t>X＜10</w:t>
            </w:r>
          </w:p>
        </w:tc>
      </w:tr>
    </w:tbl>
    <w:p>
      <w:pPr>
        <w:widowControl/>
        <w:adjustRightInd/>
        <w:snapToGrid/>
        <w:ind w:firstLine="512" w:firstLineChars="200"/>
        <w:rPr>
          <w:rFonts w:cs="宋体"/>
          <w:color w:val="auto"/>
          <w:spacing w:val="8"/>
          <w:kern w:val="0"/>
          <w:highlight w:val="none"/>
        </w:rPr>
      </w:pPr>
      <w:r>
        <w:rPr>
          <w:rFonts w:hint="eastAsia" w:cs="宋体"/>
          <w:color w:val="auto"/>
          <w:spacing w:val="8"/>
          <w:kern w:val="0"/>
          <w:highlight w:val="none"/>
        </w:rPr>
        <w:t>说明：</w:t>
      </w:r>
    </w:p>
    <w:p>
      <w:pPr>
        <w:adjustRightInd/>
        <w:snapToGrid/>
        <w:ind w:firstLine="512" w:firstLineChars="200"/>
        <w:rPr>
          <w:rFonts w:cs="宋体"/>
          <w:color w:val="auto"/>
          <w:spacing w:val="8"/>
          <w:kern w:val="0"/>
          <w:highlight w:val="none"/>
        </w:rPr>
      </w:pPr>
      <w:r>
        <w:rPr>
          <w:rFonts w:hint="eastAsia" w:cs="宋体"/>
          <w:color w:val="auto"/>
          <w:spacing w:val="8"/>
          <w:kern w:val="0"/>
          <w:highlight w:val="none"/>
        </w:rPr>
        <w:t>1.大型、中型和小型企业须同时满足所列指标的下限，否则下划一档；微型企业只须满足所列指标中的一项即可。</w:t>
      </w:r>
    </w:p>
    <w:p>
      <w:pPr>
        <w:adjustRightInd/>
        <w:snapToGrid/>
        <w:ind w:firstLine="512" w:firstLineChars="200"/>
        <w:rPr>
          <w:rFonts w:cs="宋体"/>
          <w:color w:val="auto"/>
          <w:spacing w:val="8"/>
          <w:kern w:val="0"/>
          <w:highlight w:val="none"/>
        </w:rPr>
      </w:pPr>
      <w:r>
        <w:rPr>
          <w:rFonts w:hint="eastAsia" w:cs="宋体"/>
          <w:color w:val="auto"/>
          <w:spacing w:val="8"/>
          <w:kern w:val="0"/>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hint="eastAsia" w:cs="宋体"/>
          <w:color w:val="auto"/>
          <w:spacing w:val="8"/>
          <w:kern w:val="0"/>
          <w:highlight w:val="none"/>
          <w:lang w:eastAsia="zh-CN"/>
        </w:rPr>
        <w:t>；</w:t>
      </w:r>
      <w:r>
        <w:rPr>
          <w:rFonts w:hint="eastAsia" w:cs="宋体"/>
          <w:color w:val="auto"/>
          <w:spacing w:val="8"/>
          <w:kern w:val="0"/>
          <w:highlight w:val="none"/>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ind w:firstLine="512" w:firstLineChars="200"/>
        <w:rPr>
          <w:rFonts w:asciiTheme="minorEastAsia" w:hAnsiTheme="minorEastAsia" w:eastAsiaTheme="minorEastAsia" w:cstheme="minorEastAsia"/>
          <w:color w:val="auto"/>
          <w:highlight w:val="none"/>
        </w:rPr>
      </w:pPr>
      <w:r>
        <w:rPr>
          <w:rFonts w:hint="eastAsia" w:cs="宋体"/>
          <w:color w:val="auto"/>
          <w:spacing w:val="8"/>
          <w:kern w:val="0"/>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sectPr>
      <w:pgSz w:w="11906" w:h="16838"/>
      <w:pgMar w:top="1440" w:right="1080" w:bottom="1440" w:left="1080" w:header="851" w:footer="992" w:gutter="0"/>
      <w:pgNumType w:fmt="decimal"/>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D1CAD45-27B8-4F2A-AA0D-5058D94E35F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09C16EC-FEAC-4CC8-B1B6-F2B01F40EEEF}"/>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B40547F5-60C1-452A-967A-1767186C8B97}"/>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3"/>
        <w:tab w:val="right" w:pos="8306"/>
        <w:tab w:val="clear"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3"/>
        <w:tab w:val="right" w:pos="8306"/>
        <w:tab w:val="clear" w:pos="0"/>
      </w:tabs>
      <w:ind w:right="360"/>
      <w:rPr>
        <w:sz w:val="15"/>
        <w:szCs w:val="15"/>
      </w:rPr>
    </w:pPr>
    <w:r>
      <w:rPr>
        <w:rFonts w:hAnsi="Calibri" w:cs="黑体"/>
        <w:sz w:val="15"/>
        <w:szCs w:val="20"/>
      </w:rPr>
      <mc:AlternateContent>
        <mc:Choice Requires="wps">
          <w:drawing>
            <wp:anchor distT="0" distB="0" distL="114300" distR="114300" simplePos="0" relativeHeight="251661312"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rPr>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1312;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M/edfWAAAABwEAAA8AAAAAAAAAAQAgAAAAIgAAAGRycy9kb3ducmV2&#10;LnhtbFBLAQIUABQAAAAIAIdO4kBuI/RkxQEAAIoDAAAOAAAAAAAAAAEAIAAAACUBAABkcnMvZTJv&#10;RG9jLnhtbFBLBQYAAAAABgAGAFkBAABcBQAAAAA=&#10;">
              <v:fill on="f" focussize="0,0"/>
              <v:stroke on="f"/>
              <v:imagedata o:title=""/>
              <o:lock v:ext="edit" aspectratio="f"/>
              <v:textbox inset="0mm,0mm,0mm,0mm" style="mso-fit-shape-to-text:t;">
                <w:txbxContent>
                  <w:p>
                    <w:pPr>
                      <w:rPr>
                        <w:sz w:val="18"/>
                      </w:rPr>
                    </w:pPr>
                  </w:p>
                </w:txbxContent>
              </v:textbox>
            </v:rect>
          </w:pict>
        </mc:Fallback>
      </mc:AlternateContent>
    </w:r>
    <w:r>
      <w:rPr>
        <w:rFonts w:hint="eastAsia"/>
        <w:sz w:val="15"/>
        <w:szCs w:val="15"/>
      </w:rPr>
      <w:t>地址：成都市高新区吉庆三路333号蜀都中心二期一号楼一单元401号                                         邮政编码：610041</w:t>
    </w:r>
  </w:p>
  <w:p>
    <w:pPr>
      <w:pStyle w:val="16"/>
      <w:tabs>
        <w:tab w:val="center" w:pos="4153"/>
        <w:tab w:val="right" w:pos="8306"/>
        <w:tab w:val="clear" w:pos="0"/>
      </w:tabs>
      <w:ind w:right="360"/>
    </w:pPr>
    <w:r>
      <w:rPr>
        <w:rFonts w:hint="eastAsia"/>
        <w:sz w:val="15"/>
        <w:szCs w:val="15"/>
      </w:rPr>
      <w:t>电话(TEL)：86-028-61375575、62600820、62630990                                                            传真(FAX)：028-83381268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3"/>
        <w:tab w:val="right" w:pos="8306"/>
        <w:tab w:val="clear" w:pos="0"/>
      </w:tabs>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3"/>
        <w:tab w:val="right" w:pos="8306"/>
        <w:tab w:val="clear" w:pos="0"/>
      </w:tabs>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3"/>
        <w:tab w:val="right" w:pos="8306"/>
        <w:tab w:val="clear" w:pos="0"/>
      </w:tabs>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3"/>
        <w:tab w:val="right" w:pos="8306"/>
        <w:tab w:val="clear" w:pos="0"/>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tabs>
        <w:tab w:val="center" w:pos="4153"/>
        <w:tab w:val="right" w:pos="8306"/>
        <w:tab w:val="clear" w:pos="0"/>
      </w:tabs>
      <w:jc w:val="left"/>
      <w:rPr>
        <w:b/>
        <w:bCs/>
      </w:rPr>
    </w:pPr>
    <w:r>
      <w:rPr>
        <w:rFonts w:hAnsi="Calibri" w:cs="黑体"/>
        <w:sz w:val="20"/>
        <w:szCs w:val="11"/>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-29210</wp:posOffset>
          </wp:positionV>
          <wp:extent cx="317500" cy="336550"/>
          <wp:effectExtent l="0" t="0" r="2540" b="139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
                    <a:lum/>
                  </a:blip>
                  <a:srcRect l="25160" r="25117"/>
                  <a:stretch>
                    <a:fillRect/>
                  </a:stretch>
                </pic:blipFill>
                <pic:spPr>
                  <a:xfrm>
                    <a:off x="0" y="0"/>
                    <a:ext cx="317500" cy="336550"/>
                  </a:xfrm>
                  <a:prstGeom prst="rect">
                    <a:avLst/>
                  </a:prstGeom>
                  <a:noFill/>
                  <a:ln>
                    <a:noFill/>
                  </a:ln>
                </pic:spPr>
              </pic:pic>
            </a:graphicData>
          </a:graphic>
        </wp:anchor>
      </w:drawing>
    </w:r>
    <w:r>
      <w:rPr>
        <w:rFonts w:hint="eastAsia"/>
        <w:sz w:val="21"/>
        <w:szCs w:val="21"/>
      </w:rPr>
      <w:t xml:space="preserve">       </w:t>
    </w:r>
    <w:r>
      <w:rPr>
        <w:rFonts w:hint="eastAsia"/>
        <w:b/>
        <w:bCs/>
      </w:rPr>
      <w:t>四川乾新招投标代理有限公司</w:t>
    </w:r>
  </w:p>
  <w:p>
    <w:pPr>
      <w:pStyle w:val="17"/>
      <w:pBdr>
        <w:bottom w:val="single" w:color="auto" w:sz="4" w:space="1"/>
      </w:pBdr>
      <w:tabs>
        <w:tab w:val="center" w:pos="4153"/>
        <w:tab w:val="right" w:pos="8306"/>
        <w:tab w:val="clear" w:pos="0"/>
      </w:tabs>
      <w:jc w:val="left"/>
    </w:pPr>
    <w:r>
      <w:rPr>
        <w:rFonts w:hint="eastAsia"/>
        <w:b/>
        <w:bCs/>
      </w:rPr>
      <w:t xml:space="preserve">        Si Chuan Qian Xin Tendering and Bidding Agency Co.Ltd                             不止专注 更懂托付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tabs>
        <w:tab w:val="center" w:pos="4153"/>
        <w:tab w:val="right" w:pos="8306"/>
        <w:tab w:val="clear" w:pos="0"/>
      </w:tabs>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tabs>
        <w:tab w:val="center" w:pos="4153"/>
        <w:tab w:val="right" w:pos="8306"/>
        <w:tab w:val="clear" w:pos="0"/>
      </w:tabs>
      <w:jc w:val="left"/>
      <w:rPr>
        <w:rFonts w:asciiTheme="minorEastAsia" w:hAnsiTheme="minorEastAsia" w:cstheme="minor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tabs>
        <w:tab w:val="center" w:pos="4153"/>
        <w:tab w:val="right" w:pos="8306"/>
        <w:tab w:val="clear" w:pos="0"/>
      </w:tabs>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D8E0A"/>
    <w:multiLevelType w:val="multilevel"/>
    <w:tmpl w:val="B04D8E0A"/>
    <w:lvl w:ilvl="0" w:tentative="0">
      <w:start w:val="1"/>
      <w:numFmt w:val="chineseCounting"/>
      <w:pStyle w:val="50"/>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36"/>
      <w:suff w:val="nothing"/>
      <w:lvlText w:val="%2、"/>
      <w:lvlJc w:val="left"/>
      <w:pPr>
        <w:ind w:left="0" w:firstLine="0"/>
      </w:pPr>
      <w:rPr>
        <w:rFonts w:hint="eastAsia" w:ascii="宋体" w:hAnsi="宋体" w:eastAsia="宋体" w:cs="宋体"/>
      </w:rPr>
    </w:lvl>
    <w:lvl w:ilvl="2" w:tentative="0">
      <w:start w:val="1"/>
      <w:numFmt w:val="chineseCounting"/>
      <w:pStyle w:val="51"/>
      <w:suff w:val="nothing"/>
      <w:lvlText w:val="(%3)"/>
      <w:lvlJc w:val="left"/>
      <w:pPr>
        <w:tabs>
          <w:tab w:val="left" w:pos="0"/>
        </w:tabs>
        <w:ind w:left="0" w:firstLine="0"/>
      </w:pPr>
      <w:rPr>
        <w:rFonts w:hint="eastAsia" w:ascii="宋体" w:hAnsi="宋体" w:eastAsia="宋体" w:cs="宋体"/>
      </w:rPr>
    </w:lvl>
    <w:lvl w:ilvl="3" w:tentative="0">
      <w:start w:val="1"/>
      <w:numFmt w:val="decimal"/>
      <w:pStyle w:val="65"/>
      <w:suff w:val="nothing"/>
      <w:lvlText w:val="%4."/>
      <w:lvlJc w:val="left"/>
      <w:pPr>
        <w:tabs>
          <w:tab w:val="left" w:pos="0"/>
        </w:tabs>
        <w:ind w:left="0" w:firstLine="0"/>
      </w:pPr>
      <w:rPr>
        <w:rFonts w:hint="eastAsia" w:ascii="宋体" w:hAnsi="宋体" w:eastAsia="宋体" w:cs="宋体"/>
      </w:rPr>
    </w:lvl>
    <w:lvl w:ilvl="4" w:tentative="0">
      <w:start w:val="1"/>
      <w:numFmt w:val="decimal"/>
      <w:pStyle w:val="66"/>
      <w:suff w:val="nothing"/>
      <w:lvlText w:val="%4.%5"/>
      <w:lvlJc w:val="left"/>
      <w:pPr>
        <w:ind w:left="0" w:firstLine="0"/>
      </w:pPr>
      <w:rPr>
        <w:rFonts w:hint="eastAsia" w:ascii="宋体" w:hAnsi="宋体" w:eastAsia="宋体" w:cs="宋体"/>
      </w:rPr>
    </w:lvl>
    <w:lvl w:ilvl="5" w:tentative="0">
      <w:start w:val="1"/>
      <w:numFmt w:val="decimal"/>
      <w:pStyle w:val="67"/>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C7F53590"/>
    <w:multiLevelType w:val="multilevel"/>
    <w:tmpl w:val="C7F53590"/>
    <w:lvl w:ilvl="0" w:tentative="0">
      <w:start w:val="1"/>
      <w:numFmt w:val="decimal"/>
      <w:pStyle w:val="40"/>
      <w:suff w:val="nothing"/>
      <w:lvlText w:val="%1."/>
      <w:lvlJc w:val="left"/>
      <w:pPr>
        <w:tabs>
          <w:tab w:val="left" w:pos="420"/>
        </w:tabs>
        <w:ind w:left="0" w:firstLine="0"/>
      </w:pPr>
      <w:rPr>
        <w:rFonts w:hint="default" w:ascii="宋体" w:hAnsi="宋体" w:eastAsia="宋体" w:cs="宋体"/>
      </w:rPr>
    </w:lvl>
    <w:lvl w:ilvl="1" w:tentative="0">
      <w:start w:val="1"/>
      <w:numFmt w:val="decimal"/>
      <w:pStyle w:val="41"/>
      <w:suff w:val="nothing"/>
      <w:lvlText w:val="%1.%2"/>
      <w:lvlJc w:val="left"/>
      <w:pPr>
        <w:tabs>
          <w:tab w:val="left" w:pos="420"/>
        </w:tabs>
        <w:ind w:left="0" w:firstLine="0"/>
      </w:pPr>
      <w:rPr>
        <w:rFonts w:hint="default" w:ascii="宋体" w:hAnsi="宋体" w:eastAsia="宋体" w:cs="宋体"/>
      </w:rPr>
    </w:lvl>
    <w:lvl w:ilvl="2" w:tentative="0">
      <w:start w:val="1"/>
      <w:numFmt w:val="decimal"/>
      <w:pStyle w:val="42"/>
      <w:suff w:val="nothing"/>
      <w:lvlText w:val="%1.%2.%3"/>
      <w:lvlJc w:val="left"/>
      <w:pPr>
        <w:tabs>
          <w:tab w:val="left" w:pos="420"/>
        </w:tabs>
        <w:ind w:left="0" w:firstLine="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CA240A61"/>
    <w:multiLevelType w:val="singleLevel"/>
    <w:tmpl w:val="CA240A61"/>
    <w:lvl w:ilvl="0" w:tentative="0">
      <w:start w:val="1"/>
      <w:numFmt w:val="chineseCounting"/>
      <w:pStyle w:val="75"/>
      <w:suff w:val="nothing"/>
      <w:lvlText w:val="(%1)"/>
      <w:lvlJc w:val="left"/>
      <w:pPr>
        <w:ind w:left="0" w:firstLine="0"/>
      </w:pPr>
      <w:rPr>
        <w:rFonts w:hint="eastAsia"/>
      </w:rPr>
    </w:lvl>
  </w:abstractNum>
  <w:abstractNum w:abstractNumId="3">
    <w:nsid w:val="D2F3B81A"/>
    <w:multiLevelType w:val="singleLevel"/>
    <w:tmpl w:val="D2F3B81A"/>
    <w:lvl w:ilvl="0" w:tentative="0">
      <w:start w:val="1"/>
      <w:numFmt w:val="chineseCounting"/>
      <w:pStyle w:val="45"/>
      <w:suff w:val="nothing"/>
      <w:lvlText w:val="%1、"/>
      <w:lvlJc w:val="left"/>
      <w:pPr>
        <w:ind w:left="0" w:firstLine="0"/>
      </w:pPr>
      <w:rPr>
        <w:rFonts w:hint="eastAsia"/>
      </w:rPr>
    </w:lvl>
  </w:abstractNum>
  <w:abstractNum w:abstractNumId="4">
    <w:nsid w:val="DCCDE3B6"/>
    <w:multiLevelType w:val="singleLevel"/>
    <w:tmpl w:val="DCCDE3B6"/>
    <w:lvl w:ilvl="0" w:tentative="0">
      <w:start w:val="1"/>
      <w:numFmt w:val="decimal"/>
      <w:lvlText w:val="%1"/>
      <w:lvlJc w:val="left"/>
      <w:pPr>
        <w:tabs>
          <w:tab w:val="left" w:pos="0"/>
        </w:tabs>
        <w:ind w:left="-24" w:firstLine="0"/>
      </w:pPr>
      <w:rPr>
        <w:rFonts w:hint="default"/>
      </w:rPr>
    </w:lvl>
  </w:abstractNum>
  <w:abstractNum w:abstractNumId="5">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34"/>
      <w:suff w:val="nothing"/>
      <w:lvlText w:val="(%2)"/>
      <w:lvlJc w:val="left"/>
      <w:pPr>
        <w:ind w:left="0" w:firstLine="0"/>
      </w:pPr>
      <w:rPr>
        <w:rFonts w:hint="eastAsia" w:ascii="宋体" w:hAnsi="宋体" w:eastAsia="宋体" w:cs="宋体"/>
      </w:rPr>
    </w:lvl>
    <w:lvl w:ilvl="2" w:tentative="0">
      <w:start w:val="1"/>
      <w:numFmt w:val="decimal"/>
      <w:pStyle w:val="37"/>
      <w:suff w:val="nothing"/>
      <w:lvlText w:val="%3."/>
      <w:lvlJc w:val="left"/>
      <w:pPr>
        <w:ind w:left="0" w:firstLine="0"/>
      </w:pPr>
      <w:rPr>
        <w:rFonts w:hint="eastAsia" w:ascii="宋体" w:hAnsi="宋体" w:eastAsia="宋体" w:cs="宋体"/>
      </w:rPr>
    </w:lvl>
    <w:lvl w:ilvl="3" w:tentative="0">
      <w:start w:val="1"/>
      <w:numFmt w:val="decimal"/>
      <w:pStyle w:val="38"/>
      <w:suff w:val="nothing"/>
      <w:lvlText w:val="%3.%4"/>
      <w:lvlJc w:val="left"/>
      <w:pPr>
        <w:ind w:left="0" w:firstLine="0"/>
      </w:pPr>
      <w:rPr>
        <w:rFonts w:hint="eastAsia" w:ascii="宋体" w:hAnsi="宋体" w:eastAsia="宋体" w:cs="宋体"/>
      </w:rPr>
    </w:lvl>
    <w:lvl w:ilvl="4" w:tentative="0">
      <w:start w:val="1"/>
      <w:numFmt w:val="decimal"/>
      <w:pStyle w:val="39"/>
      <w:suff w:val="nothing"/>
      <w:lvlText w:val="(%5)"/>
      <w:lvlJc w:val="left"/>
      <w:pPr>
        <w:ind w:left="0" w:firstLine="0"/>
      </w:pPr>
      <w:rPr>
        <w:rFonts w:hint="eastAsia" w:ascii="宋体" w:hAnsi="宋体" w:eastAsia="宋体" w:cs="宋体"/>
      </w:rPr>
    </w:lvl>
    <w:lvl w:ilvl="5" w:tentative="0">
      <w:start w:val="1"/>
      <w:numFmt w:val="decimal"/>
      <w:pStyle w:val="5"/>
      <w:suff w:val="nothing"/>
      <w:lvlText w:val="%6）"/>
      <w:lvlJc w:val="left"/>
      <w:pPr>
        <w:ind w:left="0" w:firstLine="402"/>
      </w:pPr>
      <w:rPr>
        <w:rFonts w:hint="eastAsia"/>
      </w:rPr>
    </w:lvl>
    <w:lvl w:ilvl="6" w:tentative="0">
      <w:start w:val="1"/>
      <w:numFmt w:val="lowerLetter"/>
      <w:pStyle w:val="6"/>
      <w:suff w:val="nothing"/>
      <w:lvlText w:val="%7．"/>
      <w:lvlJc w:val="left"/>
      <w:pPr>
        <w:ind w:left="0" w:firstLine="402"/>
      </w:pPr>
      <w:rPr>
        <w:rFonts w:hint="eastAsia"/>
      </w:rPr>
    </w:lvl>
    <w:lvl w:ilvl="7" w:tentative="0">
      <w:start w:val="1"/>
      <w:numFmt w:val="lowerLetter"/>
      <w:pStyle w:val="7"/>
      <w:suff w:val="nothing"/>
      <w:lvlText w:val="%8）"/>
      <w:lvlJc w:val="left"/>
      <w:pPr>
        <w:ind w:left="0" w:firstLine="402"/>
      </w:pPr>
      <w:rPr>
        <w:rFonts w:hint="eastAsia"/>
      </w:rPr>
    </w:lvl>
    <w:lvl w:ilvl="8" w:tentative="0">
      <w:start w:val="1"/>
      <w:numFmt w:val="lowerRoman"/>
      <w:pStyle w:val="8"/>
      <w:suff w:val="nothing"/>
      <w:lvlText w:val="%9 "/>
      <w:lvlJc w:val="left"/>
      <w:pPr>
        <w:ind w:left="0" w:firstLine="402"/>
      </w:pPr>
      <w:rPr>
        <w:rFonts w:hint="eastAsia"/>
      </w:rPr>
    </w:lvl>
  </w:abstractNum>
  <w:abstractNum w:abstractNumId="6">
    <w:nsid w:val="E3203F1F"/>
    <w:multiLevelType w:val="singleLevel"/>
    <w:tmpl w:val="E3203F1F"/>
    <w:lvl w:ilvl="0" w:tentative="0">
      <w:start w:val="1"/>
      <w:numFmt w:val="decimal"/>
      <w:lvlText w:val="%1."/>
      <w:lvlJc w:val="left"/>
      <w:pPr>
        <w:ind w:left="425" w:hanging="425"/>
      </w:pPr>
      <w:rPr>
        <w:rFonts w:hint="default"/>
      </w:rPr>
    </w:lvl>
  </w:abstractNum>
  <w:abstractNum w:abstractNumId="7">
    <w:nsid w:val="E33A3DBF"/>
    <w:multiLevelType w:val="singleLevel"/>
    <w:tmpl w:val="E33A3DBF"/>
    <w:lvl w:ilvl="0" w:tentative="0">
      <w:start w:val="1"/>
      <w:numFmt w:val="decimal"/>
      <w:lvlText w:val="(%1)"/>
      <w:lvlJc w:val="left"/>
      <w:pPr>
        <w:ind w:left="425" w:hanging="425"/>
      </w:pPr>
      <w:rPr>
        <w:rFonts w:hint="default"/>
      </w:rPr>
    </w:lvl>
  </w:abstractNum>
  <w:abstractNum w:abstractNumId="8">
    <w:nsid w:val="E69990DB"/>
    <w:multiLevelType w:val="singleLevel"/>
    <w:tmpl w:val="E69990DB"/>
    <w:lvl w:ilvl="0" w:tentative="0">
      <w:start w:val="1"/>
      <w:numFmt w:val="chineseCounting"/>
      <w:suff w:val="nothing"/>
      <w:lvlText w:val="%1、"/>
      <w:lvlJc w:val="left"/>
      <w:pPr>
        <w:ind w:left="0" w:firstLine="420"/>
      </w:pPr>
      <w:rPr>
        <w:rFonts w:hint="eastAsia"/>
      </w:rPr>
    </w:lvl>
  </w:abstractNum>
  <w:abstractNum w:abstractNumId="9">
    <w:nsid w:val="EA1AE71F"/>
    <w:multiLevelType w:val="singleLevel"/>
    <w:tmpl w:val="EA1AE71F"/>
    <w:lvl w:ilvl="0" w:tentative="0">
      <w:start w:val="1"/>
      <w:numFmt w:val="decimal"/>
      <w:lvlText w:val="%1."/>
      <w:lvlJc w:val="left"/>
      <w:pPr>
        <w:tabs>
          <w:tab w:val="left" w:pos="312"/>
        </w:tabs>
      </w:pPr>
    </w:lvl>
  </w:abstractNum>
  <w:abstractNum w:abstractNumId="10">
    <w:nsid w:val="FABA3C29"/>
    <w:multiLevelType w:val="singleLevel"/>
    <w:tmpl w:val="FABA3C29"/>
    <w:lvl w:ilvl="0" w:tentative="0">
      <w:start w:val="1"/>
      <w:numFmt w:val="chineseCounting"/>
      <w:suff w:val="nothing"/>
      <w:lvlText w:val="%1、"/>
      <w:lvlJc w:val="left"/>
      <w:pPr>
        <w:ind w:left="2400" w:firstLine="420"/>
      </w:pPr>
      <w:rPr>
        <w:rFonts w:hint="eastAsia"/>
      </w:rPr>
    </w:lvl>
  </w:abstractNum>
  <w:abstractNum w:abstractNumId="11">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12">
    <w:nsid w:val="0D3DD0CB"/>
    <w:multiLevelType w:val="singleLevel"/>
    <w:tmpl w:val="0D3DD0CB"/>
    <w:lvl w:ilvl="0" w:tentative="0">
      <w:start w:val="1"/>
      <w:numFmt w:val="decimal"/>
      <w:lvlText w:val="%1."/>
      <w:lvlJc w:val="left"/>
      <w:pPr>
        <w:tabs>
          <w:tab w:val="left" w:pos="312"/>
        </w:tabs>
      </w:pPr>
    </w:lvl>
  </w:abstractNum>
  <w:abstractNum w:abstractNumId="13">
    <w:nsid w:val="124D81BE"/>
    <w:multiLevelType w:val="singleLevel"/>
    <w:tmpl w:val="124D81BE"/>
    <w:lvl w:ilvl="0" w:tentative="0">
      <w:start w:val="1"/>
      <w:numFmt w:val="decimal"/>
      <w:lvlText w:val="%1."/>
      <w:lvlJc w:val="left"/>
      <w:pPr>
        <w:tabs>
          <w:tab w:val="left" w:pos="312"/>
        </w:tabs>
      </w:pPr>
    </w:lvl>
  </w:abstractNum>
  <w:abstractNum w:abstractNumId="14">
    <w:nsid w:val="1D6432C1"/>
    <w:multiLevelType w:val="singleLevel"/>
    <w:tmpl w:val="1D6432C1"/>
    <w:lvl w:ilvl="0" w:tentative="0">
      <w:start w:val="1"/>
      <w:numFmt w:val="decimal"/>
      <w:lvlText w:val="(%1)"/>
      <w:lvlJc w:val="left"/>
      <w:pPr>
        <w:ind w:left="425" w:hanging="425"/>
      </w:pPr>
      <w:rPr>
        <w:rFonts w:hint="default"/>
      </w:rPr>
    </w:lvl>
  </w:abstractNum>
  <w:abstractNum w:abstractNumId="15">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0"/>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6">
    <w:nsid w:val="5912557E"/>
    <w:multiLevelType w:val="singleLevel"/>
    <w:tmpl w:val="5912557E"/>
    <w:lvl w:ilvl="0" w:tentative="0">
      <w:start w:val="1"/>
      <w:numFmt w:val="chineseCounting"/>
      <w:suff w:val="nothing"/>
      <w:lvlText w:val="%1、"/>
      <w:lvlJc w:val="left"/>
      <w:rPr>
        <w:rFonts w:hint="eastAsia"/>
      </w:rPr>
    </w:lvl>
  </w:abstractNum>
  <w:abstractNum w:abstractNumId="17">
    <w:nsid w:val="5D053081"/>
    <w:multiLevelType w:val="singleLevel"/>
    <w:tmpl w:val="5D053081"/>
    <w:lvl w:ilvl="0" w:tentative="0">
      <w:start w:val="1"/>
      <w:numFmt w:val="chineseCounting"/>
      <w:suff w:val="nothing"/>
      <w:lvlText w:val="%1、"/>
      <w:lvlJc w:val="left"/>
      <w:pPr>
        <w:ind w:left="0" w:firstLine="420"/>
      </w:pPr>
      <w:rPr>
        <w:rFonts w:hint="eastAsia"/>
      </w:rPr>
    </w:lvl>
  </w:abstractNum>
  <w:abstractNum w:abstractNumId="18">
    <w:nsid w:val="618960B6"/>
    <w:multiLevelType w:val="singleLevel"/>
    <w:tmpl w:val="618960B6"/>
    <w:lvl w:ilvl="0" w:tentative="0">
      <w:start w:val="1"/>
      <w:numFmt w:val="decimal"/>
      <w:lvlText w:val="%1."/>
      <w:lvlJc w:val="left"/>
      <w:pPr>
        <w:tabs>
          <w:tab w:val="left" w:pos="312"/>
        </w:tabs>
      </w:pPr>
    </w:lvl>
  </w:abstractNum>
  <w:num w:numId="1">
    <w:abstractNumId w:val="5"/>
  </w:num>
  <w:num w:numId="2">
    <w:abstractNumId w:val="15"/>
  </w:num>
  <w:num w:numId="3">
    <w:abstractNumId w:val="0"/>
  </w:num>
  <w:num w:numId="4">
    <w:abstractNumId w:val="1"/>
  </w:num>
  <w:num w:numId="5">
    <w:abstractNumId w:val="3"/>
  </w:num>
  <w:num w:numId="6">
    <w:abstractNumId w:val="2"/>
  </w:num>
  <w:num w:numId="7">
    <w:abstractNumId w:val="11"/>
  </w:num>
  <w:num w:numId="8">
    <w:abstractNumId w:val="4"/>
  </w:num>
  <w:num w:numId="9">
    <w:abstractNumId w:val="9"/>
  </w:num>
  <w:num w:numId="10">
    <w:abstractNumId w:val="7"/>
  </w:num>
  <w:num w:numId="11">
    <w:abstractNumId w:val="18"/>
  </w:num>
  <w:num w:numId="12">
    <w:abstractNumId w:val="16"/>
  </w:num>
  <w:num w:numId="13">
    <w:abstractNumId w:val="12"/>
  </w:num>
  <w:num w:numId="14">
    <w:abstractNumId w:val="14"/>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8"/>
  </w:num>
  <w:num w:numId="24">
    <w:abstractNumId w:val="10"/>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xZTljNTNkNDZmZmE1MDFkOGJlYmUxYjQ2MDE5ZWYifQ=="/>
    <w:docVar w:name="KGWebUrl" w:val="https://oa.cdgmxy.edu.cn/seeyon/officeservlet"/>
  </w:docVars>
  <w:rsids>
    <w:rsidRoot w:val="00172A27"/>
    <w:rsid w:val="0000400A"/>
    <w:rsid w:val="000168D4"/>
    <w:rsid w:val="000504D4"/>
    <w:rsid w:val="00050929"/>
    <w:rsid w:val="000552F1"/>
    <w:rsid w:val="00071F90"/>
    <w:rsid w:val="0007665C"/>
    <w:rsid w:val="00080967"/>
    <w:rsid w:val="00083410"/>
    <w:rsid w:val="00083A85"/>
    <w:rsid w:val="000A22EE"/>
    <w:rsid w:val="000B25B6"/>
    <w:rsid w:val="000D7DD0"/>
    <w:rsid w:val="0010191C"/>
    <w:rsid w:val="001025A9"/>
    <w:rsid w:val="0010309E"/>
    <w:rsid w:val="0012071D"/>
    <w:rsid w:val="00127F82"/>
    <w:rsid w:val="00133528"/>
    <w:rsid w:val="00152049"/>
    <w:rsid w:val="00166040"/>
    <w:rsid w:val="001672A1"/>
    <w:rsid w:val="00172A27"/>
    <w:rsid w:val="001747EE"/>
    <w:rsid w:val="00180AAC"/>
    <w:rsid w:val="00187C5D"/>
    <w:rsid w:val="00190708"/>
    <w:rsid w:val="001B6050"/>
    <w:rsid w:val="001C42C5"/>
    <w:rsid w:val="001E2AED"/>
    <w:rsid w:val="001E6888"/>
    <w:rsid w:val="002214E7"/>
    <w:rsid w:val="00225683"/>
    <w:rsid w:val="00234073"/>
    <w:rsid w:val="002435A0"/>
    <w:rsid w:val="0024360B"/>
    <w:rsid w:val="00243FF7"/>
    <w:rsid w:val="00247B38"/>
    <w:rsid w:val="0025536B"/>
    <w:rsid w:val="002565E2"/>
    <w:rsid w:val="00267611"/>
    <w:rsid w:val="00282CD9"/>
    <w:rsid w:val="00290AF1"/>
    <w:rsid w:val="002B5D9A"/>
    <w:rsid w:val="002B6AE7"/>
    <w:rsid w:val="002B79CA"/>
    <w:rsid w:val="002E06BF"/>
    <w:rsid w:val="002E1A1C"/>
    <w:rsid w:val="002E5F48"/>
    <w:rsid w:val="002F05A6"/>
    <w:rsid w:val="002F3BB7"/>
    <w:rsid w:val="00315B60"/>
    <w:rsid w:val="003274CB"/>
    <w:rsid w:val="00346B27"/>
    <w:rsid w:val="00353E82"/>
    <w:rsid w:val="00377076"/>
    <w:rsid w:val="00396369"/>
    <w:rsid w:val="003B2228"/>
    <w:rsid w:val="003C13E4"/>
    <w:rsid w:val="003D21F1"/>
    <w:rsid w:val="003E1DCC"/>
    <w:rsid w:val="003F4651"/>
    <w:rsid w:val="00410967"/>
    <w:rsid w:val="00411E40"/>
    <w:rsid w:val="00415E21"/>
    <w:rsid w:val="0042186C"/>
    <w:rsid w:val="00445ADF"/>
    <w:rsid w:val="00450821"/>
    <w:rsid w:val="0046727E"/>
    <w:rsid w:val="0048109C"/>
    <w:rsid w:val="00482071"/>
    <w:rsid w:val="00483674"/>
    <w:rsid w:val="004861AE"/>
    <w:rsid w:val="00486D20"/>
    <w:rsid w:val="00495036"/>
    <w:rsid w:val="004A6781"/>
    <w:rsid w:val="004A7D40"/>
    <w:rsid w:val="004B0604"/>
    <w:rsid w:val="004B4092"/>
    <w:rsid w:val="004E0FDD"/>
    <w:rsid w:val="004F1325"/>
    <w:rsid w:val="004F2F95"/>
    <w:rsid w:val="00506600"/>
    <w:rsid w:val="00526D76"/>
    <w:rsid w:val="00551430"/>
    <w:rsid w:val="00554499"/>
    <w:rsid w:val="00557A19"/>
    <w:rsid w:val="005601DD"/>
    <w:rsid w:val="00570E40"/>
    <w:rsid w:val="00573162"/>
    <w:rsid w:val="005A2BA7"/>
    <w:rsid w:val="005A7C81"/>
    <w:rsid w:val="005F3F05"/>
    <w:rsid w:val="0060449E"/>
    <w:rsid w:val="006058A4"/>
    <w:rsid w:val="006109FE"/>
    <w:rsid w:val="00614BF4"/>
    <w:rsid w:val="00616B6E"/>
    <w:rsid w:val="00633858"/>
    <w:rsid w:val="00670841"/>
    <w:rsid w:val="006708EE"/>
    <w:rsid w:val="006778E4"/>
    <w:rsid w:val="006927C1"/>
    <w:rsid w:val="006934B4"/>
    <w:rsid w:val="00694C4F"/>
    <w:rsid w:val="006B1D4C"/>
    <w:rsid w:val="006C21DD"/>
    <w:rsid w:val="006F6EF3"/>
    <w:rsid w:val="00722E70"/>
    <w:rsid w:val="00735F80"/>
    <w:rsid w:val="0074524D"/>
    <w:rsid w:val="00783527"/>
    <w:rsid w:val="00784579"/>
    <w:rsid w:val="007B1F36"/>
    <w:rsid w:val="007D09EC"/>
    <w:rsid w:val="007F300C"/>
    <w:rsid w:val="008003F4"/>
    <w:rsid w:val="008016F9"/>
    <w:rsid w:val="008062AE"/>
    <w:rsid w:val="00811328"/>
    <w:rsid w:val="00815C57"/>
    <w:rsid w:val="00815F35"/>
    <w:rsid w:val="0082614F"/>
    <w:rsid w:val="008352AC"/>
    <w:rsid w:val="00835973"/>
    <w:rsid w:val="00850B71"/>
    <w:rsid w:val="0085639C"/>
    <w:rsid w:val="008738BD"/>
    <w:rsid w:val="0087454D"/>
    <w:rsid w:val="00887320"/>
    <w:rsid w:val="00890D7F"/>
    <w:rsid w:val="008A0EB1"/>
    <w:rsid w:val="008A2076"/>
    <w:rsid w:val="008E234B"/>
    <w:rsid w:val="008E659E"/>
    <w:rsid w:val="008F1529"/>
    <w:rsid w:val="008F1CB6"/>
    <w:rsid w:val="008F717E"/>
    <w:rsid w:val="008F74EB"/>
    <w:rsid w:val="00902627"/>
    <w:rsid w:val="00902C2A"/>
    <w:rsid w:val="00931981"/>
    <w:rsid w:val="00932AFD"/>
    <w:rsid w:val="00942ED3"/>
    <w:rsid w:val="00945986"/>
    <w:rsid w:val="00946F94"/>
    <w:rsid w:val="00973102"/>
    <w:rsid w:val="00990893"/>
    <w:rsid w:val="00997D49"/>
    <w:rsid w:val="009C43E6"/>
    <w:rsid w:val="009D01D2"/>
    <w:rsid w:val="009E1E4F"/>
    <w:rsid w:val="009F5992"/>
    <w:rsid w:val="00A23AFB"/>
    <w:rsid w:val="00A3273B"/>
    <w:rsid w:val="00A3397C"/>
    <w:rsid w:val="00A35A6A"/>
    <w:rsid w:val="00A466E6"/>
    <w:rsid w:val="00A47F1F"/>
    <w:rsid w:val="00A75A1A"/>
    <w:rsid w:val="00A837A5"/>
    <w:rsid w:val="00A95C07"/>
    <w:rsid w:val="00AA32B3"/>
    <w:rsid w:val="00AA51C1"/>
    <w:rsid w:val="00AB65CA"/>
    <w:rsid w:val="00AB67D8"/>
    <w:rsid w:val="00AC218F"/>
    <w:rsid w:val="00AC2F78"/>
    <w:rsid w:val="00AC5E59"/>
    <w:rsid w:val="00AF3998"/>
    <w:rsid w:val="00B07B2E"/>
    <w:rsid w:val="00B31CC3"/>
    <w:rsid w:val="00B90629"/>
    <w:rsid w:val="00BA2262"/>
    <w:rsid w:val="00BA69F4"/>
    <w:rsid w:val="00BA6D13"/>
    <w:rsid w:val="00BB299F"/>
    <w:rsid w:val="00BE1766"/>
    <w:rsid w:val="00BE194A"/>
    <w:rsid w:val="00BF4E9E"/>
    <w:rsid w:val="00C00F81"/>
    <w:rsid w:val="00C17A63"/>
    <w:rsid w:val="00C35487"/>
    <w:rsid w:val="00C43BC1"/>
    <w:rsid w:val="00CA0AAA"/>
    <w:rsid w:val="00CB1EB4"/>
    <w:rsid w:val="00CD401B"/>
    <w:rsid w:val="00CD437E"/>
    <w:rsid w:val="00CD43B3"/>
    <w:rsid w:val="00CD58A7"/>
    <w:rsid w:val="00CE226F"/>
    <w:rsid w:val="00CF53F3"/>
    <w:rsid w:val="00D13F32"/>
    <w:rsid w:val="00D174EB"/>
    <w:rsid w:val="00D23AEC"/>
    <w:rsid w:val="00D373B2"/>
    <w:rsid w:val="00D37D24"/>
    <w:rsid w:val="00D80201"/>
    <w:rsid w:val="00D827D3"/>
    <w:rsid w:val="00D87B92"/>
    <w:rsid w:val="00D87C93"/>
    <w:rsid w:val="00DA34DD"/>
    <w:rsid w:val="00DA65C9"/>
    <w:rsid w:val="00DB5C76"/>
    <w:rsid w:val="00DC4298"/>
    <w:rsid w:val="00DC68DD"/>
    <w:rsid w:val="00DD654B"/>
    <w:rsid w:val="00DE3615"/>
    <w:rsid w:val="00DF10BC"/>
    <w:rsid w:val="00E04823"/>
    <w:rsid w:val="00E057E9"/>
    <w:rsid w:val="00E14C29"/>
    <w:rsid w:val="00E2173D"/>
    <w:rsid w:val="00E53568"/>
    <w:rsid w:val="00E74CE9"/>
    <w:rsid w:val="00E7539A"/>
    <w:rsid w:val="00E83C3F"/>
    <w:rsid w:val="00E86078"/>
    <w:rsid w:val="00E87BB1"/>
    <w:rsid w:val="00E90A6C"/>
    <w:rsid w:val="00E93F48"/>
    <w:rsid w:val="00E965F8"/>
    <w:rsid w:val="00EB31E1"/>
    <w:rsid w:val="00EC1D3C"/>
    <w:rsid w:val="00EE2E61"/>
    <w:rsid w:val="00EE2E62"/>
    <w:rsid w:val="00EF4699"/>
    <w:rsid w:val="00F025B2"/>
    <w:rsid w:val="00F0340D"/>
    <w:rsid w:val="00F140D0"/>
    <w:rsid w:val="00F22D2F"/>
    <w:rsid w:val="00F23715"/>
    <w:rsid w:val="00F32329"/>
    <w:rsid w:val="00F359AF"/>
    <w:rsid w:val="00F35BDA"/>
    <w:rsid w:val="00F4295B"/>
    <w:rsid w:val="00F714C7"/>
    <w:rsid w:val="00F72067"/>
    <w:rsid w:val="00F9177B"/>
    <w:rsid w:val="00FA4702"/>
    <w:rsid w:val="00FB1DA4"/>
    <w:rsid w:val="01021BFD"/>
    <w:rsid w:val="01164975"/>
    <w:rsid w:val="01235338"/>
    <w:rsid w:val="012746B9"/>
    <w:rsid w:val="012B76F3"/>
    <w:rsid w:val="012C44AA"/>
    <w:rsid w:val="01304C7D"/>
    <w:rsid w:val="013435B5"/>
    <w:rsid w:val="013667AE"/>
    <w:rsid w:val="013D1C8A"/>
    <w:rsid w:val="013F0F7C"/>
    <w:rsid w:val="01430BEC"/>
    <w:rsid w:val="01464694"/>
    <w:rsid w:val="0149221C"/>
    <w:rsid w:val="014D28C9"/>
    <w:rsid w:val="015258FF"/>
    <w:rsid w:val="015357B9"/>
    <w:rsid w:val="01553CFE"/>
    <w:rsid w:val="01575A75"/>
    <w:rsid w:val="015C48BA"/>
    <w:rsid w:val="01675739"/>
    <w:rsid w:val="01733B27"/>
    <w:rsid w:val="01782F69"/>
    <w:rsid w:val="017B2F92"/>
    <w:rsid w:val="01876A1F"/>
    <w:rsid w:val="018A16B2"/>
    <w:rsid w:val="018F03FE"/>
    <w:rsid w:val="019377A3"/>
    <w:rsid w:val="01950C8B"/>
    <w:rsid w:val="01997BFD"/>
    <w:rsid w:val="019D624D"/>
    <w:rsid w:val="019D6D53"/>
    <w:rsid w:val="01A050EF"/>
    <w:rsid w:val="01A10AB4"/>
    <w:rsid w:val="01A17AA8"/>
    <w:rsid w:val="01A93CDD"/>
    <w:rsid w:val="01A96BB6"/>
    <w:rsid w:val="01AA4D6A"/>
    <w:rsid w:val="01AD4AAA"/>
    <w:rsid w:val="01B479C7"/>
    <w:rsid w:val="01B763DC"/>
    <w:rsid w:val="01BC53AC"/>
    <w:rsid w:val="01C22242"/>
    <w:rsid w:val="01C2493E"/>
    <w:rsid w:val="01C43E2A"/>
    <w:rsid w:val="01C91C5F"/>
    <w:rsid w:val="01CE126B"/>
    <w:rsid w:val="01D440FD"/>
    <w:rsid w:val="01D65137"/>
    <w:rsid w:val="01D865E6"/>
    <w:rsid w:val="01E16A43"/>
    <w:rsid w:val="01E366FD"/>
    <w:rsid w:val="01E4322D"/>
    <w:rsid w:val="01E459C2"/>
    <w:rsid w:val="01EA4845"/>
    <w:rsid w:val="01EF249C"/>
    <w:rsid w:val="01F176F8"/>
    <w:rsid w:val="01F54337"/>
    <w:rsid w:val="01F77461"/>
    <w:rsid w:val="01FC54B7"/>
    <w:rsid w:val="01FF4EDD"/>
    <w:rsid w:val="0208513A"/>
    <w:rsid w:val="021138F7"/>
    <w:rsid w:val="02132164"/>
    <w:rsid w:val="02160470"/>
    <w:rsid w:val="02195753"/>
    <w:rsid w:val="02223C50"/>
    <w:rsid w:val="022566B3"/>
    <w:rsid w:val="0229045C"/>
    <w:rsid w:val="022E6BF1"/>
    <w:rsid w:val="023372E3"/>
    <w:rsid w:val="0234353E"/>
    <w:rsid w:val="02347E69"/>
    <w:rsid w:val="023575E5"/>
    <w:rsid w:val="02362CC5"/>
    <w:rsid w:val="023C5149"/>
    <w:rsid w:val="0247556A"/>
    <w:rsid w:val="024E70F8"/>
    <w:rsid w:val="02535CBD"/>
    <w:rsid w:val="02665FD5"/>
    <w:rsid w:val="02673FBF"/>
    <w:rsid w:val="02676F4A"/>
    <w:rsid w:val="026D1F8E"/>
    <w:rsid w:val="026D704D"/>
    <w:rsid w:val="026E6706"/>
    <w:rsid w:val="02735026"/>
    <w:rsid w:val="027655B6"/>
    <w:rsid w:val="02792F82"/>
    <w:rsid w:val="027A2AED"/>
    <w:rsid w:val="02825F13"/>
    <w:rsid w:val="028430AA"/>
    <w:rsid w:val="0286015B"/>
    <w:rsid w:val="02866093"/>
    <w:rsid w:val="028879D9"/>
    <w:rsid w:val="028919DF"/>
    <w:rsid w:val="02964ADD"/>
    <w:rsid w:val="02A14D74"/>
    <w:rsid w:val="02AD29C6"/>
    <w:rsid w:val="02B0450C"/>
    <w:rsid w:val="02B43DAD"/>
    <w:rsid w:val="02C10B38"/>
    <w:rsid w:val="02C668D1"/>
    <w:rsid w:val="02D36DFE"/>
    <w:rsid w:val="02D84AC8"/>
    <w:rsid w:val="02D9413D"/>
    <w:rsid w:val="02D97DE5"/>
    <w:rsid w:val="02DC1FED"/>
    <w:rsid w:val="02DD3DF1"/>
    <w:rsid w:val="02E1151B"/>
    <w:rsid w:val="02E247AD"/>
    <w:rsid w:val="02E3266E"/>
    <w:rsid w:val="02EB188A"/>
    <w:rsid w:val="02F0675F"/>
    <w:rsid w:val="02F13434"/>
    <w:rsid w:val="02F3474E"/>
    <w:rsid w:val="02F71628"/>
    <w:rsid w:val="02F92D08"/>
    <w:rsid w:val="02FD2232"/>
    <w:rsid w:val="03033784"/>
    <w:rsid w:val="0308499E"/>
    <w:rsid w:val="030B01F1"/>
    <w:rsid w:val="030E29C8"/>
    <w:rsid w:val="03110BB0"/>
    <w:rsid w:val="0318425F"/>
    <w:rsid w:val="03190CB5"/>
    <w:rsid w:val="031C70D4"/>
    <w:rsid w:val="0321449C"/>
    <w:rsid w:val="032338E1"/>
    <w:rsid w:val="03241B28"/>
    <w:rsid w:val="03250245"/>
    <w:rsid w:val="032A4C70"/>
    <w:rsid w:val="03351867"/>
    <w:rsid w:val="03406878"/>
    <w:rsid w:val="034547E6"/>
    <w:rsid w:val="03486A36"/>
    <w:rsid w:val="034C555B"/>
    <w:rsid w:val="034D5EB3"/>
    <w:rsid w:val="0350391F"/>
    <w:rsid w:val="035619A6"/>
    <w:rsid w:val="035937A7"/>
    <w:rsid w:val="035C6DF3"/>
    <w:rsid w:val="03631FAD"/>
    <w:rsid w:val="036C1F3C"/>
    <w:rsid w:val="036D31EC"/>
    <w:rsid w:val="036E7CB0"/>
    <w:rsid w:val="03770FAA"/>
    <w:rsid w:val="0377438E"/>
    <w:rsid w:val="037D0A35"/>
    <w:rsid w:val="039261BA"/>
    <w:rsid w:val="03941692"/>
    <w:rsid w:val="039753F3"/>
    <w:rsid w:val="03975801"/>
    <w:rsid w:val="03A00A45"/>
    <w:rsid w:val="03A10074"/>
    <w:rsid w:val="03B331F8"/>
    <w:rsid w:val="03BD3D36"/>
    <w:rsid w:val="03BF4CE8"/>
    <w:rsid w:val="03C23BAF"/>
    <w:rsid w:val="03C40ABE"/>
    <w:rsid w:val="03C73EF9"/>
    <w:rsid w:val="03CA1FAF"/>
    <w:rsid w:val="03CA7926"/>
    <w:rsid w:val="03CE5F43"/>
    <w:rsid w:val="03D316D3"/>
    <w:rsid w:val="03D44A43"/>
    <w:rsid w:val="03D60077"/>
    <w:rsid w:val="03D95AF5"/>
    <w:rsid w:val="03DA5860"/>
    <w:rsid w:val="03E3449B"/>
    <w:rsid w:val="03E42FB5"/>
    <w:rsid w:val="03F050BD"/>
    <w:rsid w:val="03F338A7"/>
    <w:rsid w:val="03F62CB4"/>
    <w:rsid w:val="03F7077E"/>
    <w:rsid w:val="03FB00F1"/>
    <w:rsid w:val="03FC155B"/>
    <w:rsid w:val="03FC1BFF"/>
    <w:rsid w:val="04027210"/>
    <w:rsid w:val="04053316"/>
    <w:rsid w:val="040922A3"/>
    <w:rsid w:val="04143AD8"/>
    <w:rsid w:val="041E020C"/>
    <w:rsid w:val="041E0A40"/>
    <w:rsid w:val="041E22FB"/>
    <w:rsid w:val="041E23EC"/>
    <w:rsid w:val="042222D7"/>
    <w:rsid w:val="042876CA"/>
    <w:rsid w:val="042E0EC7"/>
    <w:rsid w:val="0431295A"/>
    <w:rsid w:val="0433644D"/>
    <w:rsid w:val="043A47ED"/>
    <w:rsid w:val="043D3A3C"/>
    <w:rsid w:val="044D771D"/>
    <w:rsid w:val="044F225E"/>
    <w:rsid w:val="0453127A"/>
    <w:rsid w:val="0462655C"/>
    <w:rsid w:val="04671AF4"/>
    <w:rsid w:val="0467789F"/>
    <w:rsid w:val="046D5DE0"/>
    <w:rsid w:val="046F52E9"/>
    <w:rsid w:val="04770389"/>
    <w:rsid w:val="047B1E84"/>
    <w:rsid w:val="047E7170"/>
    <w:rsid w:val="04802939"/>
    <w:rsid w:val="04806B11"/>
    <w:rsid w:val="04822C51"/>
    <w:rsid w:val="04841778"/>
    <w:rsid w:val="04873C0F"/>
    <w:rsid w:val="04892F7A"/>
    <w:rsid w:val="048D195A"/>
    <w:rsid w:val="0496363A"/>
    <w:rsid w:val="04964424"/>
    <w:rsid w:val="04992B18"/>
    <w:rsid w:val="049D3B7D"/>
    <w:rsid w:val="04A041C2"/>
    <w:rsid w:val="04A1495E"/>
    <w:rsid w:val="04A3117E"/>
    <w:rsid w:val="04A44D8E"/>
    <w:rsid w:val="04A53D14"/>
    <w:rsid w:val="04A93BA3"/>
    <w:rsid w:val="04AB0032"/>
    <w:rsid w:val="04AC5B58"/>
    <w:rsid w:val="04AC6DE5"/>
    <w:rsid w:val="04AF1964"/>
    <w:rsid w:val="04B07BE1"/>
    <w:rsid w:val="04B830C1"/>
    <w:rsid w:val="04BA2023"/>
    <w:rsid w:val="04BA4C7D"/>
    <w:rsid w:val="04BC2EB2"/>
    <w:rsid w:val="04CA4143"/>
    <w:rsid w:val="04D146D9"/>
    <w:rsid w:val="04D57F4E"/>
    <w:rsid w:val="04D97593"/>
    <w:rsid w:val="04DE5CC1"/>
    <w:rsid w:val="04E50456"/>
    <w:rsid w:val="04E57BE9"/>
    <w:rsid w:val="04EE0917"/>
    <w:rsid w:val="04F17FCA"/>
    <w:rsid w:val="04F4393C"/>
    <w:rsid w:val="04F51041"/>
    <w:rsid w:val="04F574FF"/>
    <w:rsid w:val="04FB6CA5"/>
    <w:rsid w:val="04FD03D8"/>
    <w:rsid w:val="04FF31ED"/>
    <w:rsid w:val="04FF4175"/>
    <w:rsid w:val="050355D2"/>
    <w:rsid w:val="05044AF9"/>
    <w:rsid w:val="050C088E"/>
    <w:rsid w:val="05111DBD"/>
    <w:rsid w:val="051304B1"/>
    <w:rsid w:val="0519537F"/>
    <w:rsid w:val="051D23B5"/>
    <w:rsid w:val="05204AF2"/>
    <w:rsid w:val="05232BB3"/>
    <w:rsid w:val="05315B92"/>
    <w:rsid w:val="05377B18"/>
    <w:rsid w:val="053C2598"/>
    <w:rsid w:val="053C4D34"/>
    <w:rsid w:val="05401A25"/>
    <w:rsid w:val="0546428C"/>
    <w:rsid w:val="054A5C05"/>
    <w:rsid w:val="054C4204"/>
    <w:rsid w:val="054E2399"/>
    <w:rsid w:val="05533444"/>
    <w:rsid w:val="055B54C4"/>
    <w:rsid w:val="055D3FA1"/>
    <w:rsid w:val="056059F7"/>
    <w:rsid w:val="05624790"/>
    <w:rsid w:val="05685F23"/>
    <w:rsid w:val="05692CEB"/>
    <w:rsid w:val="056D77F4"/>
    <w:rsid w:val="057256BC"/>
    <w:rsid w:val="057C1154"/>
    <w:rsid w:val="0581679A"/>
    <w:rsid w:val="05834B0B"/>
    <w:rsid w:val="0586026D"/>
    <w:rsid w:val="058645FB"/>
    <w:rsid w:val="058E48DD"/>
    <w:rsid w:val="0596483F"/>
    <w:rsid w:val="059771FE"/>
    <w:rsid w:val="0599675D"/>
    <w:rsid w:val="059A406C"/>
    <w:rsid w:val="05A53D39"/>
    <w:rsid w:val="05AA6018"/>
    <w:rsid w:val="05AA6ECF"/>
    <w:rsid w:val="05AC28F4"/>
    <w:rsid w:val="05AF1133"/>
    <w:rsid w:val="05AF6A3D"/>
    <w:rsid w:val="05AF76AE"/>
    <w:rsid w:val="05B55267"/>
    <w:rsid w:val="05B660BC"/>
    <w:rsid w:val="05B922DB"/>
    <w:rsid w:val="05BB6053"/>
    <w:rsid w:val="05C14E93"/>
    <w:rsid w:val="05C47C84"/>
    <w:rsid w:val="05CA098C"/>
    <w:rsid w:val="05DE5C05"/>
    <w:rsid w:val="05E01F5E"/>
    <w:rsid w:val="05EE7A21"/>
    <w:rsid w:val="05EF03F3"/>
    <w:rsid w:val="05F03F1F"/>
    <w:rsid w:val="05F74FD6"/>
    <w:rsid w:val="06015BFD"/>
    <w:rsid w:val="0608138F"/>
    <w:rsid w:val="06085010"/>
    <w:rsid w:val="06166C5B"/>
    <w:rsid w:val="06167B46"/>
    <w:rsid w:val="0618237D"/>
    <w:rsid w:val="061A5470"/>
    <w:rsid w:val="061A703B"/>
    <w:rsid w:val="061F3DF2"/>
    <w:rsid w:val="06224324"/>
    <w:rsid w:val="06292793"/>
    <w:rsid w:val="062953DC"/>
    <w:rsid w:val="06364822"/>
    <w:rsid w:val="063902D9"/>
    <w:rsid w:val="063B7194"/>
    <w:rsid w:val="06420131"/>
    <w:rsid w:val="0644691C"/>
    <w:rsid w:val="06473E71"/>
    <w:rsid w:val="064918B1"/>
    <w:rsid w:val="064A5629"/>
    <w:rsid w:val="064C13DA"/>
    <w:rsid w:val="064C5DA0"/>
    <w:rsid w:val="06563A2F"/>
    <w:rsid w:val="06594B88"/>
    <w:rsid w:val="065C4451"/>
    <w:rsid w:val="06607022"/>
    <w:rsid w:val="06640B64"/>
    <w:rsid w:val="06657762"/>
    <w:rsid w:val="066B442F"/>
    <w:rsid w:val="066D09E8"/>
    <w:rsid w:val="066D20E0"/>
    <w:rsid w:val="06735A2A"/>
    <w:rsid w:val="067803E8"/>
    <w:rsid w:val="06791870"/>
    <w:rsid w:val="067A55A2"/>
    <w:rsid w:val="06821290"/>
    <w:rsid w:val="068341DC"/>
    <w:rsid w:val="06884418"/>
    <w:rsid w:val="068C41F6"/>
    <w:rsid w:val="0698222A"/>
    <w:rsid w:val="069D5BEE"/>
    <w:rsid w:val="06A404EF"/>
    <w:rsid w:val="06A50AB1"/>
    <w:rsid w:val="06AB7088"/>
    <w:rsid w:val="06AC7FCB"/>
    <w:rsid w:val="06B220B1"/>
    <w:rsid w:val="06B4177E"/>
    <w:rsid w:val="06B546E4"/>
    <w:rsid w:val="06BD229F"/>
    <w:rsid w:val="06BD4818"/>
    <w:rsid w:val="06C14990"/>
    <w:rsid w:val="06C255FB"/>
    <w:rsid w:val="06C466BB"/>
    <w:rsid w:val="06C66564"/>
    <w:rsid w:val="06C67079"/>
    <w:rsid w:val="06C675E3"/>
    <w:rsid w:val="06D0501F"/>
    <w:rsid w:val="06D17F1E"/>
    <w:rsid w:val="06D64860"/>
    <w:rsid w:val="06DC4238"/>
    <w:rsid w:val="06DF3FC3"/>
    <w:rsid w:val="06E87E6F"/>
    <w:rsid w:val="06E91B3A"/>
    <w:rsid w:val="06E93471"/>
    <w:rsid w:val="06F23D1E"/>
    <w:rsid w:val="06F671DB"/>
    <w:rsid w:val="06FE7CDC"/>
    <w:rsid w:val="06FF392B"/>
    <w:rsid w:val="07057562"/>
    <w:rsid w:val="070E0BA1"/>
    <w:rsid w:val="07106873"/>
    <w:rsid w:val="0712012C"/>
    <w:rsid w:val="07147814"/>
    <w:rsid w:val="0715101A"/>
    <w:rsid w:val="071D4AEC"/>
    <w:rsid w:val="07245DA2"/>
    <w:rsid w:val="07252A19"/>
    <w:rsid w:val="07284CFD"/>
    <w:rsid w:val="0728618F"/>
    <w:rsid w:val="072A238A"/>
    <w:rsid w:val="072B0FB7"/>
    <w:rsid w:val="07335CEC"/>
    <w:rsid w:val="073A1C46"/>
    <w:rsid w:val="073B634E"/>
    <w:rsid w:val="073C2D1E"/>
    <w:rsid w:val="07423620"/>
    <w:rsid w:val="074958E1"/>
    <w:rsid w:val="074C58DC"/>
    <w:rsid w:val="07527CF9"/>
    <w:rsid w:val="075545BE"/>
    <w:rsid w:val="075615A8"/>
    <w:rsid w:val="07562B9A"/>
    <w:rsid w:val="075B7696"/>
    <w:rsid w:val="07641D0D"/>
    <w:rsid w:val="07662674"/>
    <w:rsid w:val="0767483A"/>
    <w:rsid w:val="076E785E"/>
    <w:rsid w:val="076F5C7C"/>
    <w:rsid w:val="077309BA"/>
    <w:rsid w:val="077741FC"/>
    <w:rsid w:val="07781B1E"/>
    <w:rsid w:val="077A550A"/>
    <w:rsid w:val="07864814"/>
    <w:rsid w:val="07945FAF"/>
    <w:rsid w:val="07971D2A"/>
    <w:rsid w:val="07992EB2"/>
    <w:rsid w:val="079F3753"/>
    <w:rsid w:val="07A31B05"/>
    <w:rsid w:val="07A56862"/>
    <w:rsid w:val="07A82607"/>
    <w:rsid w:val="07AD3ABB"/>
    <w:rsid w:val="07B077CA"/>
    <w:rsid w:val="07B11440"/>
    <w:rsid w:val="07B42784"/>
    <w:rsid w:val="07BC0D1A"/>
    <w:rsid w:val="07BD0606"/>
    <w:rsid w:val="07C40FCD"/>
    <w:rsid w:val="07CD4764"/>
    <w:rsid w:val="07D879E1"/>
    <w:rsid w:val="07DF1979"/>
    <w:rsid w:val="07E0507A"/>
    <w:rsid w:val="07E61381"/>
    <w:rsid w:val="07E761B7"/>
    <w:rsid w:val="07EC2E3C"/>
    <w:rsid w:val="07EF46DA"/>
    <w:rsid w:val="07F66D0A"/>
    <w:rsid w:val="07F67835"/>
    <w:rsid w:val="07FF5772"/>
    <w:rsid w:val="080207BD"/>
    <w:rsid w:val="08053D0A"/>
    <w:rsid w:val="080F372F"/>
    <w:rsid w:val="0817323B"/>
    <w:rsid w:val="081A6BAD"/>
    <w:rsid w:val="08273974"/>
    <w:rsid w:val="08273E74"/>
    <w:rsid w:val="082A3964"/>
    <w:rsid w:val="082A73B9"/>
    <w:rsid w:val="082F56F4"/>
    <w:rsid w:val="08320A23"/>
    <w:rsid w:val="08345E02"/>
    <w:rsid w:val="08365A12"/>
    <w:rsid w:val="08372ED5"/>
    <w:rsid w:val="08400A92"/>
    <w:rsid w:val="08400F85"/>
    <w:rsid w:val="08430582"/>
    <w:rsid w:val="08460D9C"/>
    <w:rsid w:val="084D1037"/>
    <w:rsid w:val="085049F9"/>
    <w:rsid w:val="08507E33"/>
    <w:rsid w:val="085257EE"/>
    <w:rsid w:val="08531DD5"/>
    <w:rsid w:val="08541F2D"/>
    <w:rsid w:val="0854364F"/>
    <w:rsid w:val="08560593"/>
    <w:rsid w:val="08580653"/>
    <w:rsid w:val="0859235C"/>
    <w:rsid w:val="085A15A9"/>
    <w:rsid w:val="086379DD"/>
    <w:rsid w:val="086504F8"/>
    <w:rsid w:val="086F1195"/>
    <w:rsid w:val="0879029B"/>
    <w:rsid w:val="08795873"/>
    <w:rsid w:val="08796737"/>
    <w:rsid w:val="087B7D1C"/>
    <w:rsid w:val="087D36E3"/>
    <w:rsid w:val="08885FE3"/>
    <w:rsid w:val="088D58E5"/>
    <w:rsid w:val="088F138A"/>
    <w:rsid w:val="08903BD8"/>
    <w:rsid w:val="08931509"/>
    <w:rsid w:val="089332B7"/>
    <w:rsid w:val="089963F4"/>
    <w:rsid w:val="08A2799E"/>
    <w:rsid w:val="08A4283A"/>
    <w:rsid w:val="08B0513C"/>
    <w:rsid w:val="08B54488"/>
    <w:rsid w:val="08BE07C4"/>
    <w:rsid w:val="08BE5AB8"/>
    <w:rsid w:val="08BF40AC"/>
    <w:rsid w:val="08C0336E"/>
    <w:rsid w:val="08C203AB"/>
    <w:rsid w:val="08C20DA2"/>
    <w:rsid w:val="08C6543B"/>
    <w:rsid w:val="08C711B3"/>
    <w:rsid w:val="08CC4969"/>
    <w:rsid w:val="08D539E3"/>
    <w:rsid w:val="08D65C48"/>
    <w:rsid w:val="08DB73B0"/>
    <w:rsid w:val="08DE1C47"/>
    <w:rsid w:val="08EC63BA"/>
    <w:rsid w:val="08EE6740"/>
    <w:rsid w:val="08EE6DAF"/>
    <w:rsid w:val="08FD5E73"/>
    <w:rsid w:val="09067414"/>
    <w:rsid w:val="090C3804"/>
    <w:rsid w:val="09131FB5"/>
    <w:rsid w:val="091D71CF"/>
    <w:rsid w:val="092403B3"/>
    <w:rsid w:val="0926412B"/>
    <w:rsid w:val="09292315"/>
    <w:rsid w:val="09323EEC"/>
    <w:rsid w:val="093B5F9E"/>
    <w:rsid w:val="093E60E8"/>
    <w:rsid w:val="09427C3A"/>
    <w:rsid w:val="094409C9"/>
    <w:rsid w:val="09474FBC"/>
    <w:rsid w:val="094D4667"/>
    <w:rsid w:val="094F0F52"/>
    <w:rsid w:val="09582DA3"/>
    <w:rsid w:val="095A4D4F"/>
    <w:rsid w:val="095A5B83"/>
    <w:rsid w:val="095D0712"/>
    <w:rsid w:val="09651679"/>
    <w:rsid w:val="09656ADE"/>
    <w:rsid w:val="09685C81"/>
    <w:rsid w:val="096B20A4"/>
    <w:rsid w:val="09704EF2"/>
    <w:rsid w:val="09734147"/>
    <w:rsid w:val="09760202"/>
    <w:rsid w:val="09761E33"/>
    <w:rsid w:val="097C2059"/>
    <w:rsid w:val="09807F91"/>
    <w:rsid w:val="0984355C"/>
    <w:rsid w:val="098A2122"/>
    <w:rsid w:val="098B1201"/>
    <w:rsid w:val="098D45B7"/>
    <w:rsid w:val="098E57E7"/>
    <w:rsid w:val="099240FF"/>
    <w:rsid w:val="09A514F4"/>
    <w:rsid w:val="09B024F6"/>
    <w:rsid w:val="09BD2D95"/>
    <w:rsid w:val="09BF7005"/>
    <w:rsid w:val="09C32102"/>
    <w:rsid w:val="09C875A3"/>
    <w:rsid w:val="09C94BC3"/>
    <w:rsid w:val="09C97575"/>
    <w:rsid w:val="09CA3930"/>
    <w:rsid w:val="09CC3BAD"/>
    <w:rsid w:val="09D60615"/>
    <w:rsid w:val="09D73678"/>
    <w:rsid w:val="09E244D3"/>
    <w:rsid w:val="09E44204"/>
    <w:rsid w:val="09F410FD"/>
    <w:rsid w:val="09F61D50"/>
    <w:rsid w:val="09F85300"/>
    <w:rsid w:val="09F9533F"/>
    <w:rsid w:val="09FA1862"/>
    <w:rsid w:val="0A141092"/>
    <w:rsid w:val="0A18215B"/>
    <w:rsid w:val="0A1A5515"/>
    <w:rsid w:val="0A1C206E"/>
    <w:rsid w:val="0A1F3AFB"/>
    <w:rsid w:val="0A220467"/>
    <w:rsid w:val="0A287A2F"/>
    <w:rsid w:val="0A2D0238"/>
    <w:rsid w:val="0A35648F"/>
    <w:rsid w:val="0A3D4730"/>
    <w:rsid w:val="0A406793"/>
    <w:rsid w:val="0A4F2112"/>
    <w:rsid w:val="0A4F76B2"/>
    <w:rsid w:val="0A562C91"/>
    <w:rsid w:val="0A562EAD"/>
    <w:rsid w:val="0A5700E0"/>
    <w:rsid w:val="0A5E153D"/>
    <w:rsid w:val="0A5F6FCC"/>
    <w:rsid w:val="0A61724E"/>
    <w:rsid w:val="0A720B8B"/>
    <w:rsid w:val="0A761D8B"/>
    <w:rsid w:val="0A762E91"/>
    <w:rsid w:val="0A7F0DF3"/>
    <w:rsid w:val="0A862689"/>
    <w:rsid w:val="0A8643B4"/>
    <w:rsid w:val="0A88671B"/>
    <w:rsid w:val="0A8A4F8C"/>
    <w:rsid w:val="0A8B671A"/>
    <w:rsid w:val="0A8D53E6"/>
    <w:rsid w:val="0A941E7B"/>
    <w:rsid w:val="0A990353"/>
    <w:rsid w:val="0AA3367A"/>
    <w:rsid w:val="0AA479FE"/>
    <w:rsid w:val="0AA85816"/>
    <w:rsid w:val="0AAE20B2"/>
    <w:rsid w:val="0AB144E5"/>
    <w:rsid w:val="0AB72AB4"/>
    <w:rsid w:val="0ABF45E0"/>
    <w:rsid w:val="0AD029E3"/>
    <w:rsid w:val="0AD06D46"/>
    <w:rsid w:val="0AD20D78"/>
    <w:rsid w:val="0AD95FEE"/>
    <w:rsid w:val="0ADA2CA9"/>
    <w:rsid w:val="0ADF46B7"/>
    <w:rsid w:val="0AE15AA2"/>
    <w:rsid w:val="0AE50CEA"/>
    <w:rsid w:val="0AE74A9B"/>
    <w:rsid w:val="0AEB1D55"/>
    <w:rsid w:val="0AEF28BE"/>
    <w:rsid w:val="0AF66B05"/>
    <w:rsid w:val="0AFD0EBC"/>
    <w:rsid w:val="0AFF2E86"/>
    <w:rsid w:val="0AFF39E9"/>
    <w:rsid w:val="0B016BFE"/>
    <w:rsid w:val="0B030A0E"/>
    <w:rsid w:val="0B057D70"/>
    <w:rsid w:val="0B0F543F"/>
    <w:rsid w:val="0B165FCB"/>
    <w:rsid w:val="0B1D5061"/>
    <w:rsid w:val="0B1F3335"/>
    <w:rsid w:val="0B210D44"/>
    <w:rsid w:val="0B2D79F3"/>
    <w:rsid w:val="0B354AFA"/>
    <w:rsid w:val="0B373A25"/>
    <w:rsid w:val="0B3B7F3C"/>
    <w:rsid w:val="0B3F14D4"/>
    <w:rsid w:val="0B3F7726"/>
    <w:rsid w:val="0B490628"/>
    <w:rsid w:val="0B4A6D39"/>
    <w:rsid w:val="0B4D084E"/>
    <w:rsid w:val="0B5001FD"/>
    <w:rsid w:val="0B5255EB"/>
    <w:rsid w:val="0B5331D2"/>
    <w:rsid w:val="0B536D2E"/>
    <w:rsid w:val="0B5D62E7"/>
    <w:rsid w:val="0B5E6C1B"/>
    <w:rsid w:val="0B685A51"/>
    <w:rsid w:val="0B7050D0"/>
    <w:rsid w:val="0B780CAF"/>
    <w:rsid w:val="0B786794"/>
    <w:rsid w:val="0B7C78A1"/>
    <w:rsid w:val="0B94665C"/>
    <w:rsid w:val="0B9648CA"/>
    <w:rsid w:val="0B970C03"/>
    <w:rsid w:val="0B98470C"/>
    <w:rsid w:val="0B9956E6"/>
    <w:rsid w:val="0B996E37"/>
    <w:rsid w:val="0B9B3CCE"/>
    <w:rsid w:val="0BA62356"/>
    <w:rsid w:val="0BAA1E73"/>
    <w:rsid w:val="0BAB0918"/>
    <w:rsid w:val="0BB15CE2"/>
    <w:rsid w:val="0BBE7D93"/>
    <w:rsid w:val="0BC31E67"/>
    <w:rsid w:val="0BC639A4"/>
    <w:rsid w:val="0BC75C03"/>
    <w:rsid w:val="0BCF0D6E"/>
    <w:rsid w:val="0BD25244"/>
    <w:rsid w:val="0BD72135"/>
    <w:rsid w:val="0BDB390D"/>
    <w:rsid w:val="0BDD0790"/>
    <w:rsid w:val="0BDD4638"/>
    <w:rsid w:val="0BDE7B9C"/>
    <w:rsid w:val="0BE24B2A"/>
    <w:rsid w:val="0BE3664B"/>
    <w:rsid w:val="0BEB2FDB"/>
    <w:rsid w:val="0BF31F88"/>
    <w:rsid w:val="0BF5093F"/>
    <w:rsid w:val="0BFB189F"/>
    <w:rsid w:val="0BFD5229"/>
    <w:rsid w:val="0C0238B6"/>
    <w:rsid w:val="0C095932"/>
    <w:rsid w:val="0C0D7E74"/>
    <w:rsid w:val="0C1309B3"/>
    <w:rsid w:val="0C154760"/>
    <w:rsid w:val="0C166DCE"/>
    <w:rsid w:val="0C216E2C"/>
    <w:rsid w:val="0C2565F7"/>
    <w:rsid w:val="0C272694"/>
    <w:rsid w:val="0C2B072E"/>
    <w:rsid w:val="0C312359"/>
    <w:rsid w:val="0C370695"/>
    <w:rsid w:val="0C38015F"/>
    <w:rsid w:val="0C385E6D"/>
    <w:rsid w:val="0C3B0D7B"/>
    <w:rsid w:val="0C3D6E4B"/>
    <w:rsid w:val="0C4072B2"/>
    <w:rsid w:val="0C4147F3"/>
    <w:rsid w:val="0C4B0B48"/>
    <w:rsid w:val="0C4F74F5"/>
    <w:rsid w:val="0C546A20"/>
    <w:rsid w:val="0C593A85"/>
    <w:rsid w:val="0C6658D4"/>
    <w:rsid w:val="0C6963A5"/>
    <w:rsid w:val="0C6A762B"/>
    <w:rsid w:val="0C6B4035"/>
    <w:rsid w:val="0C6B61EE"/>
    <w:rsid w:val="0C6D2071"/>
    <w:rsid w:val="0C6F3B75"/>
    <w:rsid w:val="0C7E602C"/>
    <w:rsid w:val="0C802078"/>
    <w:rsid w:val="0C8607FB"/>
    <w:rsid w:val="0C8C56BB"/>
    <w:rsid w:val="0C903A31"/>
    <w:rsid w:val="0C90491D"/>
    <w:rsid w:val="0C932F02"/>
    <w:rsid w:val="0C933B09"/>
    <w:rsid w:val="0C97046E"/>
    <w:rsid w:val="0CA20DF1"/>
    <w:rsid w:val="0CA34C64"/>
    <w:rsid w:val="0CA53F3A"/>
    <w:rsid w:val="0CA87886"/>
    <w:rsid w:val="0CAF57CC"/>
    <w:rsid w:val="0CB101B0"/>
    <w:rsid w:val="0CB80BBA"/>
    <w:rsid w:val="0CBE1C5E"/>
    <w:rsid w:val="0CC04B54"/>
    <w:rsid w:val="0CC06DC6"/>
    <w:rsid w:val="0CC12374"/>
    <w:rsid w:val="0CC41DD4"/>
    <w:rsid w:val="0CC56735"/>
    <w:rsid w:val="0CC92786"/>
    <w:rsid w:val="0CD30126"/>
    <w:rsid w:val="0CD83387"/>
    <w:rsid w:val="0CDA6B23"/>
    <w:rsid w:val="0CDC30C8"/>
    <w:rsid w:val="0CDC5AA4"/>
    <w:rsid w:val="0CDD6EE1"/>
    <w:rsid w:val="0CDE4FA4"/>
    <w:rsid w:val="0CDF4AFB"/>
    <w:rsid w:val="0CE94F94"/>
    <w:rsid w:val="0CED067B"/>
    <w:rsid w:val="0CED24A5"/>
    <w:rsid w:val="0CF66F6C"/>
    <w:rsid w:val="0CFC6488"/>
    <w:rsid w:val="0CFF00B2"/>
    <w:rsid w:val="0D0309E4"/>
    <w:rsid w:val="0D1158BC"/>
    <w:rsid w:val="0D177524"/>
    <w:rsid w:val="0D186481"/>
    <w:rsid w:val="0D1D5BF4"/>
    <w:rsid w:val="0D201A95"/>
    <w:rsid w:val="0D286E37"/>
    <w:rsid w:val="0D2E4510"/>
    <w:rsid w:val="0D2E7CDA"/>
    <w:rsid w:val="0D304B21"/>
    <w:rsid w:val="0D4A61F6"/>
    <w:rsid w:val="0D5A4C9D"/>
    <w:rsid w:val="0D5E127F"/>
    <w:rsid w:val="0D606801"/>
    <w:rsid w:val="0D636535"/>
    <w:rsid w:val="0D777890"/>
    <w:rsid w:val="0D790005"/>
    <w:rsid w:val="0D793F75"/>
    <w:rsid w:val="0D8323B8"/>
    <w:rsid w:val="0D8D3FD0"/>
    <w:rsid w:val="0D8F3E2F"/>
    <w:rsid w:val="0D900001"/>
    <w:rsid w:val="0D947DEF"/>
    <w:rsid w:val="0D984ECC"/>
    <w:rsid w:val="0D993238"/>
    <w:rsid w:val="0D9960F6"/>
    <w:rsid w:val="0D9B3836"/>
    <w:rsid w:val="0D9D017D"/>
    <w:rsid w:val="0DA153BE"/>
    <w:rsid w:val="0DA24802"/>
    <w:rsid w:val="0DA570AA"/>
    <w:rsid w:val="0DB87064"/>
    <w:rsid w:val="0DBF06AB"/>
    <w:rsid w:val="0DC61A39"/>
    <w:rsid w:val="0DC80D06"/>
    <w:rsid w:val="0DC932D7"/>
    <w:rsid w:val="0DC97C18"/>
    <w:rsid w:val="0DD37D4F"/>
    <w:rsid w:val="0DD70E5E"/>
    <w:rsid w:val="0DD86494"/>
    <w:rsid w:val="0DD91F3D"/>
    <w:rsid w:val="0DE1509D"/>
    <w:rsid w:val="0DE9567C"/>
    <w:rsid w:val="0DED31DA"/>
    <w:rsid w:val="0DEF2F72"/>
    <w:rsid w:val="0DF849E2"/>
    <w:rsid w:val="0DF854CB"/>
    <w:rsid w:val="0DF85636"/>
    <w:rsid w:val="0DF90060"/>
    <w:rsid w:val="0DFF2925"/>
    <w:rsid w:val="0E020709"/>
    <w:rsid w:val="0E037125"/>
    <w:rsid w:val="0E087379"/>
    <w:rsid w:val="0E0D1416"/>
    <w:rsid w:val="0E0F2E28"/>
    <w:rsid w:val="0E105F97"/>
    <w:rsid w:val="0E111189"/>
    <w:rsid w:val="0E15148E"/>
    <w:rsid w:val="0E16133B"/>
    <w:rsid w:val="0E1A54A6"/>
    <w:rsid w:val="0E1D4C94"/>
    <w:rsid w:val="0E1E01D2"/>
    <w:rsid w:val="0E2350DD"/>
    <w:rsid w:val="0E237ECF"/>
    <w:rsid w:val="0E2C57A6"/>
    <w:rsid w:val="0E2E1FA8"/>
    <w:rsid w:val="0E3A08A5"/>
    <w:rsid w:val="0E3B4AAC"/>
    <w:rsid w:val="0E3F4A94"/>
    <w:rsid w:val="0E444E25"/>
    <w:rsid w:val="0E4528EE"/>
    <w:rsid w:val="0E461CF5"/>
    <w:rsid w:val="0E463841"/>
    <w:rsid w:val="0E463F6A"/>
    <w:rsid w:val="0E476241"/>
    <w:rsid w:val="0E4860E1"/>
    <w:rsid w:val="0E490AEC"/>
    <w:rsid w:val="0E4E095A"/>
    <w:rsid w:val="0E533A22"/>
    <w:rsid w:val="0E5400D2"/>
    <w:rsid w:val="0E563ECD"/>
    <w:rsid w:val="0E5D50FC"/>
    <w:rsid w:val="0E5E0B3E"/>
    <w:rsid w:val="0E6260ED"/>
    <w:rsid w:val="0E6354DA"/>
    <w:rsid w:val="0E6D75F7"/>
    <w:rsid w:val="0E7073F8"/>
    <w:rsid w:val="0E770F85"/>
    <w:rsid w:val="0E7A7A80"/>
    <w:rsid w:val="0E801240"/>
    <w:rsid w:val="0E843002"/>
    <w:rsid w:val="0E8C2C83"/>
    <w:rsid w:val="0E8D165D"/>
    <w:rsid w:val="0E8D2FCC"/>
    <w:rsid w:val="0E93689F"/>
    <w:rsid w:val="0E94261D"/>
    <w:rsid w:val="0E987FFF"/>
    <w:rsid w:val="0E9944EA"/>
    <w:rsid w:val="0E9C4E00"/>
    <w:rsid w:val="0EA06123"/>
    <w:rsid w:val="0EA55D77"/>
    <w:rsid w:val="0EB21234"/>
    <w:rsid w:val="0EB331E4"/>
    <w:rsid w:val="0EB5186D"/>
    <w:rsid w:val="0EBC4BEA"/>
    <w:rsid w:val="0EBF43D5"/>
    <w:rsid w:val="0EC419EC"/>
    <w:rsid w:val="0EC73CBB"/>
    <w:rsid w:val="0ECD0E2A"/>
    <w:rsid w:val="0ED11030"/>
    <w:rsid w:val="0ED308B1"/>
    <w:rsid w:val="0ED45063"/>
    <w:rsid w:val="0ED629D9"/>
    <w:rsid w:val="0ED86D8A"/>
    <w:rsid w:val="0EDA3323"/>
    <w:rsid w:val="0EDA6A03"/>
    <w:rsid w:val="0EE024C9"/>
    <w:rsid w:val="0EE216E8"/>
    <w:rsid w:val="0EEB3C41"/>
    <w:rsid w:val="0EF16957"/>
    <w:rsid w:val="0EF56A7A"/>
    <w:rsid w:val="0EF56BB3"/>
    <w:rsid w:val="0EFA0064"/>
    <w:rsid w:val="0EFD148A"/>
    <w:rsid w:val="0EFD4B79"/>
    <w:rsid w:val="0EFE379D"/>
    <w:rsid w:val="0F090320"/>
    <w:rsid w:val="0F092098"/>
    <w:rsid w:val="0F0C6E52"/>
    <w:rsid w:val="0F145994"/>
    <w:rsid w:val="0F180126"/>
    <w:rsid w:val="0F1E5006"/>
    <w:rsid w:val="0F206D18"/>
    <w:rsid w:val="0F31247F"/>
    <w:rsid w:val="0F362BEE"/>
    <w:rsid w:val="0F3E4FBF"/>
    <w:rsid w:val="0F3F7CF5"/>
    <w:rsid w:val="0F4527B9"/>
    <w:rsid w:val="0F4838EA"/>
    <w:rsid w:val="0F491260"/>
    <w:rsid w:val="0F4E567B"/>
    <w:rsid w:val="0F5070D3"/>
    <w:rsid w:val="0F527A16"/>
    <w:rsid w:val="0F5372FC"/>
    <w:rsid w:val="0F552295"/>
    <w:rsid w:val="0F555D3E"/>
    <w:rsid w:val="0F5740FD"/>
    <w:rsid w:val="0F596082"/>
    <w:rsid w:val="0F5A4C3C"/>
    <w:rsid w:val="0F680516"/>
    <w:rsid w:val="0F6B05BA"/>
    <w:rsid w:val="0F7331B1"/>
    <w:rsid w:val="0F830CF9"/>
    <w:rsid w:val="0F835DE1"/>
    <w:rsid w:val="0F845C87"/>
    <w:rsid w:val="0F851480"/>
    <w:rsid w:val="0F8807D3"/>
    <w:rsid w:val="0F8C7EC0"/>
    <w:rsid w:val="0F9069D9"/>
    <w:rsid w:val="0F957915"/>
    <w:rsid w:val="0F985025"/>
    <w:rsid w:val="0FA65900"/>
    <w:rsid w:val="0FA715B7"/>
    <w:rsid w:val="0FAB0735"/>
    <w:rsid w:val="0FAB73CF"/>
    <w:rsid w:val="0FB33DBD"/>
    <w:rsid w:val="0FBA136E"/>
    <w:rsid w:val="0FC67596"/>
    <w:rsid w:val="0FCE24F3"/>
    <w:rsid w:val="0FCF6299"/>
    <w:rsid w:val="0FD22B86"/>
    <w:rsid w:val="0FD23538"/>
    <w:rsid w:val="0FD348E1"/>
    <w:rsid w:val="0FE46AE5"/>
    <w:rsid w:val="0FEA7956"/>
    <w:rsid w:val="0FED5FE3"/>
    <w:rsid w:val="0FF2619D"/>
    <w:rsid w:val="0FF36E45"/>
    <w:rsid w:val="0FF82BFE"/>
    <w:rsid w:val="0FFF7484"/>
    <w:rsid w:val="10002E78"/>
    <w:rsid w:val="10021C8E"/>
    <w:rsid w:val="100A088B"/>
    <w:rsid w:val="100D6538"/>
    <w:rsid w:val="100E0F3F"/>
    <w:rsid w:val="10120548"/>
    <w:rsid w:val="10125409"/>
    <w:rsid w:val="10126035"/>
    <w:rsid w:val="101441E2"/>
    <w:rsid w:val="101D1BBB"/>
    <w:rsid w:val="101E557F"/>
    <w:rsid w:val="10205AAD"/>
    <w:rsid w:val="10220902"/>
    <w:rsid w:val="10273174"/>
    <w:rsid w:val="10280FE6"/>
    <w:rsid w:val="102C76B3"/>
    <w:rsid w:val="102F3B57"/>
    <w:rsid w:val="1030329B"/>
    <w:rsid w:val="10324889"/>
    <w:rsid w:val="10351C5D"/>
    <w:rsid w:val="10372E40"/>
    <w:rsid w:val="10377484"/>
    <w:rsid w:val="103C5FE2"/>
    <w:rsid w:val="10417AB4"/>
    <w:rsid w:val="104A41B1"/>
    <w:rsid w:val="10540ECD"/>
    <w:rsid w:val="105E407C"/>
    <w:rsid w:val="106C7853"/>
    <w:rsid w:val="106E1F45"/>
    <w:rsid w:val="106F460A"/>
    <w:rsid w:val="10710B24"/>
    <w:rsid w:val="1075299E"/>
    <w:rsid w:val="107921C2"/>
    <w:rsid w:val="107E07FE"/>
    <w:rsid w:val="1083654E"/>
    <w:rsid w:val="1084133C"/>
    <w:rsid w:val="10843C64"/>
    <w:rsid w:val="108B5C75"/>
    <w:rsid w:val="10927871"/>
    <w:rsid w:val="109B2457"/>
    <w:rsid w:val="109C559F"/>
    <w:rsid w:val="10A305EF"/>
    <w:rsid w:val="10A86948"/>
    <w:rsid w:val="10AA1215"/>
    <w:rsid w:val="10AC5DB4"/>
    <w:rsid w:val="10BB15FD"/>
    <w:rsid w:val="10BC41A8"/>
    <w:rsid w:val="10BD4B6E"/>
    <w:rsid w:val="10C0129B"/>
    <w:rsid w:val="10C32E2F"/>
    <w:rsid w:val="10CA1840"/>
    <w:rsid w:val="10CA79BF"/>
    <w:rsid w:val="10CC1442"/>
    <w:rsid w:val="10D13D4E"/>
    <w:rsid w:val="10D8735E"/>
    <w:rsid w:val="10D948AF"/>
    <w:rsid w:val="10DB6AC5"/>
    <w:rsid w:val="10E123A2"/>
    <w:rsid w:val="10E55858"/>
    <w:rsid w:val="10E8122E"/>
    <w:rsid w:val="10E90235"/>
    <w:rsid w:val="10E93D19"/>
    <w:rsid w:val="10EC5C5A"/>
    <w:rsid w:val="10EE58BA"/>
    <w:rsid w:val="10F16B8E"/>
    <w:rsid w:val="10F26C4B"/>
    <w:rsid w:val="10F60887"/>
    <w:rsid w:val="11002024"/>
    <w:rsid w:val="11010BE5"/>
    <w:rsid w:val="1101215E"/>
    <w:rsid w:val="11020FDA"/>
    <w:rsid w:val="1107086A"/>
    <w:rsid w:val="110A60E1"/>
    <w:rsid w:val="110A63B9"/>
    <w:rsid w:val="11146F5F"/>
    <w:rsid w:val="111508F5"/>
    <w:rsid w:val="11187121"/>
    <w:rsid w:val="111D4066"/>
    <w:rsid w:val="112467A8"/>
    <w:rsid w:val="112545FE"/>
    <w:rsid w:val="112673D2"/>
    <w:rsid w:val="11272A81"/>
    <w:rsid w:val="112813EC"/>
    <w:rsid w:val="112E0750"/>
    <w:rsid w:val="11343C71"/>
    <w:rsid w:val="113A2F43"/>
    <w:rsid w:val="113D1A76"/>
    <w:rsid w:val="113D2902"/>
    <w:rsid w:val="1140061F"/>
    <w:rsid w:val="11406900"/>
    <w:rsid w:val="11432411"/>
    <w:rsid w:val="114B0EAA"/>
    <w:rsid w:val="114F3FEB"/>
    <w:rsid w:val="1150476A"/>
    <w:rsid w:val="11511756"/>
    <w:rsid w:val="11560B91"/>
    <w:rsid w:val="11563B20"/>
    <w:rsid w:val="115F619C"/>
    <w:rsid w:val="1166278E"/>
    <w:rsid w:val="116B3023"/>
    <w:rsid w:val="116E28E7"/>
    <w:rsid w:val="1170636B"/>
    <w:rsid w:val="11726C24"/>
    <w:rsid w:val="117479FE"/>
    <w:rsid w:val="11791BDA"/>
    <w:rsid w:val="11800151"/>
    <w:rsid w:val="118151C6"/>
    <w:rsid w:val="11883982"/>
    <w:rsid w:val="118C11EC"/>
    <w:rsid w:val="11900568"/>
    <w:rsid w:val="119D25D7"/>
    <w:rsid w:val="11A3453B"/>
    <w:rsid w:val="11A5473B"/>
    <w:rsid w:val="11A976A8"/>
    <w:rsid w:val="11AA18AD"/>
    <w:rsid w:val="11AF5A91"/>
    <w:rsid w:val="11B13A44"/>
    <w:rsid w:val="11B469EC"/>
    <w:rsid w:val="11B64B9D"/>
    <w:rsid w:val="11B70129"/>
    <w:rsid w:val="11BA3C77"/>
    <w:rsid w:val="11C34C5A"/>
    <w:rsid w:val="11C35EBE"/>
    <w:rsid w:val="11C82E11"/>
    <w:rsid w:val="11C949CA"/>
    <w:rsid w:val="11CB40E2"/>
    <w:rsid w:val="11CB5A56"/>
    <w:rsid w:val="11CD0310"/>
    <w:rsid w:val="11CF64D1"/>
    <w:rsid w:val="11D16BFE"/>
    <w:rsid w:val="11D27F85"/>
    <w:rsid w:val="11D7281B"/>
    <w:rsid w:val="11D93657"/>
    <w:rsid w:val="11E57CD7"/>
    <w:rsid w:val="11E62926"/>
    <w:rsid w:val="11E7019B"/>
    <w:rsid w:val="11EC3A38"/>
    <w:rsid w:val="11F12249"/>
    <w:rsid w:val="11F2487A"/>
    <w:rsid w:val="12041F1C"/>
    <w:rsid w:val="12080872"/>
    <w:rsid w:val="120B35D2"/>
    <w:rsid w:val="120C60C8"/>
    <w:rsid w:val="12126BE3"/>
    <w:rsid w:val="12130FC5"/>
    <w:rsid w:val="12165DE3"/>
    <w:rsid w:val="121C2BD8"/>
    <w:rsid w:val="12244421"/>
    <w:rsid w:val="122641D1"/>
    <w:rsid w:val="12273289"/>
    <w:rsid w:val="12292105"/>
    <w:rsid w:val="12355743"/>
    <w:rsid w:val="123A15D8"/>
    <w:rsid w:val="123F1856"/>
    <w:rsid w:val="124A1D2C"/>
    <w:rsid w:val="124F40E9"/>
    <w:rsid w:val="12525F91"/>
    <w:rsid w:val="125B5D86"/>
    <w:rsid w:val="12614F87"/>
    <w:rsid w:val="12625391"/>
    <w:rsid w:val="12674DCE"/>
    <w:rsid w:val="126F5ED9"/>
    <w:rsid w:val="12771ACB"/>
    <w:rsid w:val="12892C0E"/>
    <w:rsid w:val="12902616"/>
    <w:rsid w:val="12953FC0"/>
    <w:rsid w:val="12956B09"/>
    <w:rsid w:val="1299328B"/>
    <w:rsid w:val="12A035E9"/>
    <w:rsid w:val="12A04B9A"/>
    <w:rsid w:val="12A30DA6"/>
    <w:rsid w:val="12A31A6A"/>
    <w:rsid w:val="12A52565"/>
    <w:rsid w:val="12A73D26"/>
    <w:rsid w:val="12AE184F"/>
    <w:rsid w:val="12B46304"/>
    <w:rsid w:val="12BB714B"/>
    <w:rsid w:val="12BB7B92"/>
    <w:rsid w:val="12BD4102"/>
    <w:rsid w:val="12C23A7C"/>
    <w:rsid w:val="12C744D8"/>
    <w:rsid w:val="12D03C66"/>
    <w:rsid w:val="12D06EB6"/>
    <w:rsid w:val="12D37006"/>
    <w:rsid w:val="12D919C1"/>
    <w:rsid w:val="12DE519C"/>
    <w:rsid w:val="12DF4D7E"/>
    <w:rsid w:val="12E04EEB"/>
    <w:rsid w:val="12E10DF9"/>
    <w:rsid w:val="12E94BA8"/>
    <w:rsid w:val="12EF7344"/>
    <w:rsid w:val="12F0367F"/>
    <w:rsid w:val="12F55F70"/>
    <w:rsid w:val="13071321"/>
    <w:rsid w:val="130A3353"/>
    <w:rsid w:val="130E3E54"/>
    <w:rsid w:val="131175E5"/>
    <w:rsid w:val="13136C38"/>
    <w:rsid w:val="13154A51"/>
    <w:rsid w:val="13196A69"/>
    <w:rsid w:val="131B0C66"/>
    <w:rsid w:val="131E7C21"/>
    <w:rsid w:val="131F12F3"/>
    <w:rsid w:val="13250FB0"/>
    <w:rsid w:val="13321775"/>
    <w:rsid w:val="133236CD"/>
    <w:rsid w:val="13332E61"/>
    <w:rsid w:val="13380869"/>
    <w:rsid w:val="133A74E5"/>
    <w:rsid w:val="13410BBA"/>
    <w:rsid w:val="134156A3"/>
    <w:rsid w:val="13421B62"/>
    <w:rsid w:val="134A2083"/>
    <w:rsid w:val="134C478E"/>
    <w:rsid w:val="13585B2A"/>
    <w:rsid w:val="13615054"/>
    <w:rsid w:val="136C3083"/>
    <w:rsid w:val="136D25E4"/>
    <w:rsid w:val="136E457E"/>
    <w:rsid w:val="136F6A51"/>
    <w:rsid w:val="13713219"/>
    <w:rsid w:val="13755EB2"/>
    <w:rsid w:val="137809C1"/>
    <w:rsid w:val="1381155A"/>
    <w:rsid w:val="138453C4"/>
    <w:rsid w:val="138541F2"/>
    <w:rsid w:val="13877DCB"/>
    <w:rsid w:val="13887B1A"/>
    <w:rsid w:val="13896FCC"/>
    <w:rsid w:val="13961B0B"/>
    <w:rsid w:val="1398132F"/>
    <w:rsid w:val="139F2E5E"/>
    <w:rsid w:val="13A04ADA"/>
    <w:rsid w:val="13A23966"/>
    <w:rsid w:val="13A35911"/>
    <w:rsid w:val="13A407E7"/>
    <w:rsid w:val="13A47BFE"/>
    <w:rsid w:val="13A50343"/>
    <w:rsid w:val="13A91BE1"/>
    <w:rsid w:val="13A95433"/>
    <w:rsid w:val="13AB06B4"/>
    <w:rsid w:val="13AE5449"/>
    <w:rsid w:val="13B0729A"/>
    <w:rsid w:val="13B50586"/>
    <w:rsid w:val="13B773EB"/>
    <w:rsid w:val="13B955EA"/>
    <w:rsid w:val="13C0517C"/>
    <w:rsid w:val="13C070DC"/>
    <w:rsid w:val="13C33F9D"/>
    <w:rsid w:val="13C34C6E"/>
    <w:rsid w:val="13C4002F"/>
    <w:rsid w:val="13C7650B"/>
    <w:rsid w:val="13C82603"/>
    <w:rsid w:val="13C87C3A"/>
    <w:rsid w:val="13CA06A2"/>
    <w:rsid w:val="13CE7899"/>
    <w:rsid w:val="13E3389E"/>
    <w:rsid w:val="13E656C9"/>
    <w:rsid w:val="13E67824"/>
    <w:rsid w:val="13E744B7"/>
    <w:rsid w:val="13E84D13"/>
    <w:rsid w:val="13E939FC"/>
    <w:rsid w:val="13ED6898"/>
    <w:rsid w:val="13EF397E"/>
    <w:rsid w:val="13F46DFC"/>
    <w:rsid w:val="13F6294C"/>
    <w:rsid w:val="140664B1"/>
    <w:rsid w:val="14093876"/>
    <w:rsid w:val="140C55EA"/>
    <w:rsid w:val="14162BF8"/>
    <w:rsid w:val="14166484"/>
    <w:rsid w:val="14197E9B"/>
    <w:rsid w:val="141D252C"/>
    <w:rsid w:val="141F550D"/>
    <w:rsid w:val="141F552E"/>
    <w:rsid w:val="142028B9"/>
    <w:rsid w:val="14242A9B"/>
    <w:rsid w:val="142676D5"/>
    <w:rsid w:val="14293FDD"/>
    <w:rsid w:val="142B19AB"/>
    <w:rsid w:val="14335E33"/>
    <w:rsid w:val="14343277"/>
    <w:rsid w:val="14472E7F"/>
    <w:rsid w:val="144A32D1"/>
    <w:rsid w:val="144B5F53"/>
    <w:rsid w:val="144E062A"/>
    <w:rsid w:val="145742EB"/>
    <w:rsid w:val="14593173"/>
    <w:rsid w:val="14593E54"/>
    <w:rsid w:val="145C30F7"/>
    <w:rsid w:val="145D7218"/>
    <w:rsid w:val="14627FE2"/>
    <w:rsid w:val="14663754"/>
    <w:rsid w:val="14695629"/>
    <w:rsid w:val="1470604A"/>
    <w:rsid w:val="14773A8D"/>
    <w:rsid w:val="147A3327"/>
    <w:rsid w:val="147E7EFC"/>
    <w:rsid w:val="148056E8"/>
    <w:rsid w:val="148461AA"/>
    <w:rsid w:val="148562C2"/>
    <w:rsid w:val="14857BC8"/>
    <w:rsid w:val="148937C0"/>
    <w:rsid w:val="148A09EC"/>
    <w:rsid w:val="148C5306"/>
    <w:rsid w:val="148D505F"/>
    <w:rsid w:val="149E4122"/>
    <w:rsid w:val="14A16D5C"/>
    <w:rsid w:val="14A95C11"/>
    <w:rsid w:val="14AA20B4"/>
    <w:rsid w:val="14B06F9F"/>
    <w:rsid w:val="14B16888"/>
    <w:rsid w:val="14B16945"/>
    <w:rsid w:val="14B510BC"/>
    <w:rsid w:val="14B86439"/>
    <w:rsid w:val="14BE3BD0"/>
    <w:rsid w:val="14C64A14"/>
    <w:rsid w:val="14C772D4"/>
    <w:rsid w:val="14C91781"/>
    <w:rsid w:val="14CA588A"/>
    <w:rsid w:val="14CB1D50"/>
    <w:rsid w:val="14CB598A"/>
    <w:rsid w:val="14CF2CA5"/>
    <w:rsid w:val="14D53920"/>
    <w:rsid w:val="14D74531"/>
    <w:rsid w:val="14DB12B2"/>
    <w:rsid w:val="14DF2C70"/>
    <w:rsid w:val="14E36FB1"/>
    <w:rsid w:val="14E40995"/>
    <w:rsid w:val="14E446B9"/>
    <w:rsid w:val="14E453F1"/>
    <w:rsid w:val="14E60E10"/>
    <w:rsid w:val="14E86739"/>
    <w:rsid w:val="14ED2581"/>
    <w:rsid w:val="14F20518"/>
    <w:rsid w:val="14F71157"/>
    <w:rsid w:val="14F94754"/>
    <w:rsid w:val="14F97080"/>
    <w:rsid w:val="15072773"/>
    <w:rsid w:val="15075411"/>
    <w:rsid w:val="15095839"/>
    <w:rsid w:val="150F2E6F"/>
    <w:rsid w:val="15183FE5"/>
    <w:rsid w:val="151D60E3"/>
    <w:rsid w:val="151F2A96"/>
    <w:rsid w:val="1524211C"/>
    <w:rsid w:val="152B2BAC"/>
    <w:rsid w:val="152D429D"/>
    <w:rsid w:val="1530340C"/>
    <w:rsid w:val="153B0F5F"/>
    <w:rsid w:val="15443470"/>
    <w:rsid w:val="1549430F"/>
    <w:rsid w:val="154A733D"/>
    <w:rsid w:val="1552183E"/>
    <w:rsid w:val="155D44F6"/>
    <w:rsid w:val="155E652D"/>
    <w:rsid w:val="155E7216"/>
    <w:rsid w:val="1568195A"/>
    <w:rsid w:val="156825AE"/>
    <w:rsid w:val="156A20EE"/>
    <w:rsid w:val="156D4E90"/>
    <w:rsid w:val="156E60BC"/>
    <w:rsid w:val="157648A9"/>
    <w:rsid w:val="15794688"/>
    <w:rsid w:val="157D25F1"/>
    <w:rsid w:val="157E0E4B"/>
    <w:rsid w:val="157F3A8B"/>
    <w:rsid w:val="158013B3"/>
    <w:rsid w:val="15897466"/>
    <w:rsid w:val="158B6D3B"/>
    <w:rsid w:val="158C012D"/>
    <w:rsid w:val="158D5643"/>
    <w:rsid w:val="15903FC7"/>
    <w:rsid w:val="159213D6"/>
    <w:rsid w:val="1594375E"/>
    <w:rsid w:val="159D2A18"/>
    <w:rsid w:val="159D2AA8"/>
    <w:rsid w:val="15A20E36"/>
    <w:rsid w:val="15A35B1D"/>
    <w:rsid w:val="15A73FE1"/>
    <w:rsid w:val="15AF1E97"/>
    <w:rsid w:val="15AF54A9"/>
    <w:rsid w:val="15BB7678"/>
    <w:rsid w:val="15BC3A0F"/>
    <w:rsid w:val="15C11C13"/>
    <w:rsid w:val="15CF264A"/>
    <w:rsid w:val="15CF3C06"/>
    <w:rsid w:val="15CF6FF0"/>
    <w:rsid w:val="15D17D83"/>
    <w:rsid w:val="15D65804"/>
    <w:rsid w:val="15E016A8"/>
    <w:rsid w:val="15E03E43"/>
    <w:rsid w:val="15E2295A"/>
    <w:rsid w:val="15E40909"/>
    <w:rsid w:val="15F07F9B"/>
    <w:rsid w:val="15F15C2C"/>
    <w:rsid w:val="15F97B47"/>
    <w:rsid w:val="16021A3F"/>
    <w:rsid w:val="16031706"/>
    <w:rsid w:val="16071DD9"/>
    <w:rsid w:val="1609222F"/>
    <w:rsid w:val="160C5D02"/>
    <w:rsid w:val="16184098"/>
    <w:rsid w:val="161E50BE"/>
    <w:rsid w:val="161F7166"/>
    <w:rsid w:val="16211A64"/>
    <w:rsid w:val="16216BBF"/>
    <w:rsid w:val="16220D9F"/>
    <w:rsid w:val="16225C7A"/>
    <w:rsid w:val="1628366A"/>
    <w:rsid w:val="16290D5F"/>
    <w:rsid w:val="16297009"/>
    <w:rsid w:val="162A607A"/>
    <w:rsid w:val="162C4C37"/>
    <w:rsid w:val="162F68C6"/>
    <w:rsid w:val="16321739"/>
    <w:rsid w:val="16322CA9"/>
    <w:rsid w:val="16340060"/>
    <w:rsid w:val="163409FD"/>
    <w:rsid w:val="16343981"/>
    <w:rsid w:val="164925E6"/>
    <w:rsid w:val="164C0B16"/>
    <w:rsid w:val="164D2E97"/>
    <w:rsid w:val="164E786D"/>
    <w:rsid w:val="16564ED8"/>
    <w:rsid w:val="165D1CCD"/>
    <w:rsid w:val="16695F27"/>
    <w:rsid w:val="166B2C03"/>
    <w:rsid w:val="166B2D98"/>
    <w:rsid w:val="166C3226"/>
    <w:rsid w:val="1674297A"/>
    <w:rsid w:val="16744501"/>
    <w:rsid w:val="1678043E"/>
    <w:rsid w:val="167A093E"/>
    <w:rsid w:val="167B5198"/>
    <w:rsid w:val="167D73BF"/>
    <w:rsid w:val="167E6CA3"/>
    <w:rsid w:val="167F4B95"/>
    <w:rsid w:val="16825E59"/>
    <w:rsid w:val="168F2701"/>
    <w:rsid w:val="16956647"/>
    <w:rsid w:val="16962C25"/>
    <w:rsid w:val="169708B7"/>
    <w:rsid w:val="169D0E74"/>
    <w:rsid w:val="16A0455F"/>
    <w:rsid w:val="16AF50F8"/>
    <w:rsid w:val="16B661DE"/>
    <w:rsid w:val="16B71280"/>
    <w:rsid w:val="16BF5817"/>
    <w:rsid w:val="16C26B2D"/>
    <w:rsid w:val="16CC0580"/>
    <w:rsid w:val="16DB5435"/>
    <w:rsid w:val="16E135E7"/>
    <w:rsid w:val="16E21427"/>
    <w:rsid w:val="16E218B5"/>
    <w:rsid w:val="16E75618"/>
    <w:rsid w:val="16E96C0B"/>
    <w:rsid w:val="16F53E83"/>
    <w:rsid w:val="17033117"/>
    <w:rsid w:val="170C751B"/>
    <w:rsid w:val="17100CA3"/>
    <w:rsid w:val="17174AB2"/>
    <w:rsid w:val="17176555"/>
    <w:rsid w:val="17274C8F"/>
    <w:rsid w:val="172F59B8"/>
    <w:rsid w:val="17312619"/>
    <w:rsid w:val="17327861"/>
    <w:rsid w:val="173B6FF4"/>
    <w:rsid w:val="173C59AC"/>
    <w:rsid w:val="173F20E2"/>
    <w:rsid w:val="174F5DA2"/>
    <w:rsid w:val="175F02F7"/>
    <w:rsid w:val="1767197C"/>
    <w:rsid w:val="176C18A3"/>
    <w:rsid w:val="176D64DA"/>
    <w:rsid w:val="176D6D62"/>
    <w:rsid w:val="177200CD"/>
    <w:rsid w:val="17726700"/>
    <w:rsid w:val="177B1ED9"/>
    <w:rsid w:val="177F62FA"/>
    <w:rsid w:val="17866843"/>
    <w:rsid w:val="178A1016"/>
    <w:rsid w:val="178E0BAF"/>
    <w:rsid w:val="178E0E4C"/>
    <w:rsid w:val="178F26BA"/>
    <w:rsid w:val="17906430"/>
    <w:rsid w:val="17942194"/>
    <w:rsid w:val="17973392"/>
    <w:rsid w:val="179A5E10"/>
    <w:rsid w:val="17A00827"/>
    <w:rsid w:val="17A032FB"/>
    <w:rsid w:val="17A20A2C"/>
    <w:rsid w:val="17A76445"/>
    <w:rsid w:val="17A816D3"/>
    <w:rsid w:val="17A84C85"/>
    <w:rsid w:val="17A86A84"/>
    <w:rsid w:val="17BE2E31"/>
    <w:rsid w:val="17C214C3"/>
    <w:rsid w:val="17C271C7"/>
    <w:rsid w:val="17C77396"/>
    <w:rsid w:val="17C802C3"/>
    <w:rsid w:val="17C84858"/>
    <w:rsid w:val="17C93299"/>
    <w:rsid w:val="17D46671"/>
    <w:rsid w:val="17E07B9B"/>
    <w:rsid w:val="17E25684"/>
    <w:rsid w:val="17E94BEE"/>
    <w:rsid w:val="17EB6C6C"/>
    <w:rsid w:val="17EC5142"/>
    <w:rsid w:val="17EE3D06"/>
    <w:rsid w:val="17F3649A"/>
    <w:rsid w:val="17F558E5"/>
    <w:rsid w:val="17F7123E"/>
    <w:rsid w:val="17F93750"/>
    <w:rsid w:val="17FA253A"/>
    <w:rsid w:val="17FA2DCA"/>
    <w:rsid w:val="17FA3EFA"/>
    <w:rsid w:val="18071145"/>
    <w:rsid w:val="180C6BE2"/>
    <w:rsid w:val="180D1861"/>
    <w:rsid w:val="181635BD"/>
    <w:rsid w:val="18185587"/>
    <w:rsid w:val="18211619"/>
    <w:rsid w:val="1824021D"/>
    <w:rsid w:val="18267507"/>
    <w:rsid w:val="182727AA"/>
    <w:rsid w:val="182C3C1D"/>
    <w:rsid w:val="18463A37"/>
    <w:rsid w:val="18477C1A"/>
    <w:rsid w:val="1858668C"/>
    <w:rsid w:val="18597D61"/>
    <w:rsid w:val="185C2DF9"/>
    <w:rsid w:val="185E27E0"/>
    <w:rsid w:val="186456CD"/>
    <w:rsid w:val="18690252"/>
    <w:rsid w:val="186921BE"/>
    <w:rsid w:val="186A253C"/>
    <w:rsid w:val="186A35F2"/>
    <w:rsid w:val="186B6507"/>
    <w:rsid w:val="186C2B04"/>
    <w:rsid w:val="186E07BA"/>
    <w:rsid w:val="18707171"/>
    <w:rsid w:val="187327BD"/>
    <w:rsid w:val="187602DD"/>
    <w:rsid w:val="18764A71"/>
    <w:rsid w:val="18782953"/>
    <w:rsid w:val="187B2544"/>
    <w:rsid w:val="18806E60"/>
    <w:rsid w:val="1881137E"/>
    <w:rsid w:val="188414D8"/>
    <w:rsid w:val="188D727F"/>
    <w:rsid w:val="18906360"/>
    <w:rsid w:val="18921538"/>
    <w:rsid w:val="18960A15"/>
    <w:rsid w:val="189D12B1"/>
    <w:rsid w:val="189E12C3"/>
    <w:rsid w:val="189E32A4"/>
    <w:rsid w:val="189F1A93"/>
    <w:rsid w:val="18A34073"/>
    <w:rsid w:val="18A57E34"/>
    <w:rsid w:val="18A77792"/>
    <w:rsid w:val="18AA6087"/>
    <w:rsid w:val="18B07129"/>
    <w:rsid w:val="18B452A5"/>
    <w:rsid w:val="18B629E3"/>
    <w:rsid w:val="18BA4F49"/>
    <w:rsid w:val="18BD055D"/>
    <w:rsid w:val="18BE27ED"/>
    <w:rsid w:val="18C04A46"/>
    <w:rsid w:val="18C4037B"/>
    <w:rsid w:val="18C56061"/>
    <w:rsid w:val="18CA554E"/>
    <w:rsid w:val="18CF6F08"/>
    <w:rsid w:val="18CF7EBE"/>
    <w:rsid w:val="18D25736"/>
    <w:rsid w:val="18D314AE"/>
    <w:rsid w:val="18D764B0"/>
    <w:rsid w:val="18D92B7A"/>
    <w:rsid w:val="18DC1446"/>
    <w:rsid w:val="18E15170"/>
    <w:rsid w:val="18E216F1"/>
    <w:rsid w:val="18E67433"/>
    <w:rsid w:val="18E82CB1"/>
    <w:rsid w:val="18F4450F"/>
    <w:rsid w:val="18F71640"/>
    <w:rsid w:val="18FE716C"/>
    <w:rsid w:val="18FF308F"/>
    <w:rsid w:val="19045B0B"/>
    <w:rsid w:val="19080C81"/>
    <w:rsid w:val="190F6CF0"/>
    <w:rsid w:val="19137DBD"/>
    <w:rsid w:val="191F46F3"/>
    <w:rsid w:val="19263C11"/>
    <w:rsid w:val="19263CD4"/>
    <w:rsid w:val="192D5062"/>
    <w:rsid w:val="19364034"/>
    <w:rsid w:val="1938580E"/>
    <w:rsid w:val="19394EDE"/>
    <w:rsid w:val="193B0C6C"/>
    <w:rsid w:val="19437393"/>
    <w:rsid w:val="1949544B"/>
    <w:rsid w:val="194B6D06"/>
    <w:rsid w:val="19580F07"/>
    <w:rsid w:val="195B6FBB"/>
    <w:rsid w:val="195C2DE5"/>
    <w:rsid w:val="196C060A"/>
    <w:rsid w:val="196C5C29"/>
    <w:rsid w:val="196E445D"/>
    <w:rsid w:val="197226D6"/>
    <w:rsid w:val="197B045A"/>
    <w:rsid w:val="197C38F4"/>
    <w:rsid w:val="197C71BC"/>
    <w:rsid w:val="198509FA"/>
    <w:rsid w:val="198C4B67"/>
    <w:rsid w:val="198D5036"/>
    <w:rsid w:val="19911370"/>
    <w:rsid w:val="199155F1"/>
    <w:rsid w:val="199C4521"/>
    <w:rsid w:val="199E3D57"/>
    <w:rsid w:val="19A10856"/>
    <w:rsid w:val="19A15120"/>
    <w:rsid w:val="19A50686"/>
    <w:rsid w:val="19A60597"/>
    <w:rsid w:val="19A748CE"/>
    <w:rsid w:val="19AC06FC"/>
    <w:rsid w:val="19B35CBB"/>
    <w:rsid w:val="19B53F29"/>
    <w:rsid w:val="19BB4AC7"/>
    <w:rsid w:val="19C534ED"/>
    <w:rsid w:val="19C81E16"/>
    <w:rsid w:val="19C90485"/>
    <w:rsid w:val="19D0425F"/>
    <w:rsid w:val="19DD0E30"/>
    <w:rsid w:val="19E33EF6"/>
    <w:rsid w:val="19ED1019"/>
    <w:rsid w:val="19EE1E33"/>
    <w:rsid w:val="19EF3D08"/>
    <w:rsid w:val="19F30FD0"/>
    <w:rsid w:val="19F34D14"/>
    <w:rsid w:val="19F716CA"/>
    <w:rsid w:val="19F900BF"/>
    <w:rsid w:val="19F90D6C"/>
    <w:rsid w:val="19FC5289"/>
    <w:rsid w:val="19FE60C0"/>
    <w:rsid w:val="1A0062D3"/>
    <w:rsid w:val="1A061C69"/>
    <w:rsid w:val="1A084125"/>
    <w:rsid w:val="1A084634"/>
    <w:rsid w:val="1A084FA6"/>
    <w:rsid w:val="1A0931E6"/>
    <w:rsid w:val="1A0B22C7"/>
    <w:rsid w:val="1A0E734C"/>
    <w:rsid w:val="1A146B09"/>
    <w:rsid w:val="1A1718C8"/>
    <w:rsid w:val="1A182556"/>
    <w:rsid w:val="1A1D39FB"/>
    <w:rsid w:val="1A266185"/>
    <w:rsid w:val="1A2C6661"/>
    <w:rsid w:val="1A33410B"/>
    <w:rsid w:val="1A3472F0"/>
    <w:rsid w:val="1A3D4066"/>
    <w:rsid w:val="1A3D4AF4"/>
    <w:rsid w:val="1A422421"/>
    <w:rsid w:val="1A434F5D"/>
    <w:rsid w:val="1A4864A7"/>
    <w:rsid w:val="1A497AC2"/>
    <w:rsid w:val="1A4B1A7C"/>
    <w:rsid w:val="1A534654"/>
    <w:rsid w:val="1A5522FD"/>
    <w:rsid w:val="1A5846A0"/>
    <w:rsid w:val="1A5B75BD"/>
    <w:rsid w:val="1A5C1E8C"/>
    <w:rsid w:val="1A622137"/>
    <w:rsid w:val="1A6307DF"/>
    <w:rsid w:val="1A684E92"/>
    <w:rsid w:val="1A6A3851"/>
    <w:rsid w:val="1A750BFC"/>
    <w:rsid w:val="1A7647E7"/>
    <w:rsid w:val="1A766871"/>
    <w:rsid w:val="1A7E2B00"/>
    <w:rsid w:val="1A8A4647"/>
    <w:rsid w:val="1A8F5E02"/>
    <w:rsid w:val="1A9723B6"/>
    <w:rsid w:val="1A9E2B8D"/>
    <w:rsid w:val="1AA34AA6"/>
    <w:rsid w:val="1AA93183"/>
    <w:rsid w:val="1AAC781B"/>
    <w:rsid w:val="1AB44A07"/>
    <w:rsid w:val="1AB5764A"/>
    <w:rsid w:val="1AC13CB4"/>
    <w:rsid w:val="1AC4365C"/>
    <w:rsid w:val="1AC76DF0"/>
    <w:rsid w:val="1ACE0AAE"/>
    <w:rsid w:val="1AD13FFB"/>
    <w:rsid w:val="1AD35795"/>
    <w:rsid w:val="1AD41623"/>
    <w:rsid w:val="1AD63F77"/>
    <w:rsid w:val="1ADA1B4E"/>
    <w:rsid w:val="1ADB3896"/>
    <w:rsid w:val="1AE11686"/>
    <w:rsid w:val="1AE83066"/>
    <w:rsid w:val="1AED05E1"/>
    <w:rsid w:val="1AED0D4A"/>
    <w:rsid w:val="1AF00F47"/>
    <w:rsid w:val="1AF046CF"/>
    <w:rsid w:val="1AF13320"/>
    <w:rsid w:val="1AF418C0"/>
    <w:rsid w:val="1AFC4CEC"/>
    <w:rsid w:val="1B074284"/>
    <w:rsid w:val="1B0818E3"/>
    <w:rsid w:val="1B152CDB"/>
    <w:rsid w:val="1B171B26"/>
    <w:rsid w:val="1B1900EC"/>
    <w:rsid w:val="1B1B7066"/>
    <w:rsid w:val="1B1D66C9"/>
    <w:rsid w:val="1B1F6C2C"/>
    <w:rsid w:val="1B24725D"/>
    <w:rsid w:val="1B26620D"/>
    <w:rsid w:val="1B2B048F"/>
    <w:rsid w:val="1B2D0515"/>
    <w:rsid w:val="1B301CAE"/>
    <w:rsid w:val="1B3449F3"/>
    <w:rsid w:val="1B3A7BAD"/>
    <w:rsid w:val="1B3D3E36"/>
    <w:rsid w:val="1B4A111D"/>
    <w:rsid w:val="1B4A445D"/>
    <w:rsid w:val="1B4D4C2F"/>
    <w:rsid w:val="1B4E4762"/>
    <w:rsid w:val="1B4F0D46"/>
    <w:rsid w:val="1B4F7512"/>
    <w:rsid w:val="1B5543FC"/>
    <w:rsid w:val="1B5752AC"/>
    <w:rsid w:val="1B5B3E9D"/>
    <w:rsid w:val="1B5D75AD"/>
    <w:rsid w:val="1B605A24"/>
    <w:rsid w:val="1B67625B"/>
    <w:rsid w:val="1B695DFB"/>
    <w:rsid w:val="1B6A60FA"/>
    <w:rsid w:val="1B6B336B"/>
    <w:rsid w:val="1B721452"/>
    <w:rsid w:val="1B7551B8"/>
    <w:rsid w:val="1B7F1C39"/>
    <w:rsid w:val="1B7F7BA2"/>
    <w:rsid w:val="1B830F69"/>
    <w:rsid w:val="1B857D11"/>
    <w:rsid w:val="1B861274"/>
    <w:rsid w:val="1B8B1EEF"/>
    <w:rsid w:val="1B8E1561"/>
    <w:rsid w:val="1B8E253E"/>
    <w:rsid w:val="1B9369D7"/>
    <w:rsid w:val="1B940F60"/>
    <w:rsid w:val="1B94573C"/>
    <w:rsid w:val="1B974A15"/>
    <w:rsid w:val="1B9E5564"/>
    <w:rsid w:val="1BA02EBA"/>
    <w:rsid w:val="1BA96A1D"/>
    <w:rsid w:val="1BAF5377"/>
    <w:rsid w:val="1BB043CA"/>
    <w:rsid w:val="1BC670A8"/>
    <w:rsid w:val="1BC852CB"/>
    <w:rsid w:val="1BCB06DF"/>
    <w:rsid w:val="1BCB3B13"/>
    <w:rsid w:val="1BD57B8D"/>
    <w:rsid w:val="1BDF67D9"/>
    <w:rsid w:val="1BEE1FC3"/>
    <w:rsid w:val="1BF015D4"/>
    <w:rsid w:val="1BF21BB3"/>
    <w:rsid w:val="1BF3663C"/>
    <w:rsid w:val="1BF6798D"/>
    <w:rsid w:val="1BF80B18"/>
    <w:rsid w:val="1BF81957"/>
    <w:rsid w:val="1BFD529F"/>
    <w:rsid w:val="1C037C38"/>
    <w:rsid w:val="1C073948"/>
    <w:rsid w:val="1C076142"/>
    <w:rsid w:val="1C103C4A"/>
    <w:rsid w:val="1C116575"/>
    <w:rsid w:val="1C121A19"/>
    <w:rsid w:val="1C19026F"/>
    <w:rsid w:val="1C19483C"/>
    <w:rsid w:val="1C213008"/>
    <w:rsid w:val="1C250273"/>
    <w:rsid w:val="1C260736"/>
    <w:rsid w:val="1C3030F3"/>
    <w:rsid w:val="1C347AE7"/>
    <w:rsid w:val="1C3709C2"/>
    <w:rsid w:val="1C3D55BC"/>
    <w:rsid w:val="1C3E6B9D"/>
    <w:rsid w:val="1C4A5BD3"/>
    <w:rsid w:val="1C4C57FF"/>
    <w:rsid w:val="1C512E16"/>
    <w:rsid w:val="1C520A79"/>
    <w:rsid w:val="1C575617"/>
    <w:rsid w:val="1C592E09"/>
    <w:rsid w:val="1C5D5C5E"/>
    <w:rsid w:val="1C5D7284"/>
    <w:rsid w:val="1C662D65"/>
    <w:rsid w:val="1C673791"/>
    <w:rsid w:val="1C674BB2"/>
    <w:rsid w:val="1C6C036E"/>
    <w:rsid w:val="1C7320FC"/>
    <w:rsid w:val="1C73352D"/>
    <w:rsid w:val="1C750F91"/>
    <w:rsid w:val="1C75322F"/>
    <w:rsid w:val="1C760ACE"/>
    <w:rsid w:val="1C783953"/>
    <w:rsid w:val="1C7C3254"/>
    <w:rsid w:val="1C7F0A0D"/>
    <w:rsid w:val="1C842C05"/>
    <w:rsid w:val="1C880D09"/>
    <w:rsid w:val="1C883EE2"/>
    <w:rsid w:val="1C8A5704"/>
    <w:rsid w:val="1C9176B6"/>
    <w:rsid w:val="1C9827AE"/>
    <w:rsid w:val="1C98720C"/>
    <w:rsid w:val="1C993644"/>
    <w:rsid w:val="1C9B22E3"/>
    <w:rsid w:val="1C9D2861"/>
    <w:rsid w:val="1CA30814"/>
    <w:rsid w:val="1CA411B8"/>
    <w:rsid w:val="1CA91C58"/>
    <w:rsid w:val="1CC7132A"/>
    <w:rsid w:val="1CC932F4"/>
    <w:rsid w:val="1CC97385"/>
    <w:rsid w:val="1CD11261"/>
    <w:rsid w:val="1CD8784D"/>
    <w:rsid w:val="1CDB2D68"/>
    <w:rsid w:val="1CDF52B8"/>
    <w:rsid w:val="1CF333E6"/>
    <w:rsid w:val="1CF3576F"/>
    <w:rsid w:val="1CF361DB"/>
    <w:rsid w:val="1CF52B1D"/>
    <w:rsid w:val="1CFB0F6D"/>
    <w:rsid w:val="1D0055D9"/>
    <w:rsid w:val="1D0565E2"/>
    <w:rsid w:val="1D075E75"/>
    <w:rsid w:val="1D097058"/>
    <w:rsid w:val="1D101740"/>
    <w:rsid w:val="1D1125A5"/>
    <w:rsid w:val="1D163CF4"/>
    <w:rsid w:val="1D182D77"/>
    <w:rsid w:val="1D2122A1"/>
    <w:rsid w:val="1D2357FD"/>
    <w:rsid w:val="1D270BC9"/>
    <w:rsid w:val="1D2B47EE"/>
    <w:rsid w:val="1D2D51F1"/>
    <w:rsid w:val="1D37486F"/>
    <w:rsid w:val="1D3D6015"/>
    <w:rsid w:val="1D42071E"/>
    <w:rsid w:val="1D45169C"/>
    <w:rsid w:val="1D453489"/>
    <w:rsid w:val="1D47582D"/>
    <w:rsid w:val="1D4856D1"/>
    <w:rsid w:val="1D486FBE"/>
    <w:rsid w:val="1D4C0A31"/>
    <w:rsid w:val="1D607F49"/>
    <w:rsid w:val="1D617875"/>
    <w:rsid w:val="1D645888"/>
    <w:rsid w:val="1D677324"/>
    <w:rsid w:val="1D6B0DE6"/>
    <w:rsid w:val="1D6E2D29"/>
    <w:rsid w:val="1D6F3E9B"/>
    <w:rsid w:val="1D8C6A7E"/>
    <w:rsid w:val="1D8D5C6C"/>
    <w:rsid w:val="1D8E167F"/>
    <w:rsid w:val="1D9707A8"/>
    <w:rsid w:val="1DA134AF"/>
    <w:rsid w:val="1DA16837"/>
    <w:rsid w:val="1DAB22A7"/>
    <w:rsid w:val="1DAE1935"/>
    <w:rsid w:val="1DB95872"/>
    <w:rsid w:val="1DBA2C3C"/>
    <w:rsid w:val="1DC13873"/>
    <w:rsid w:val="1DC15568"/>
    <w:rsid w:val="1DC42B36"/>
    <w:rsid w:val="1DC77F7C"/>
    <w:rsid w:val="1DD0335C"/>
    <w:rsid w:val="1DD83F0B"/>
    <w:rsid w:val="1DDE2C0D"/>
    <w:rsid w:val="1DE56026"/>
    <w:rsid w:val="1DE8493B"/>
    <w:rsid w:val="1DF24184"/>
    <w:rsid w:val="1DF83E91"/>
    <w:rsid w:val="1DF924BE"/>
    <w:rsid w:val="1DFC3B16"/>
    <w:rsid w:val="1DFD44BA"/>
    <w:rsid w:val="1E0A1EB4"/>
    <w:rsid w:val="1E1862E1"/>
    <w:rsid w:val="1E1C56BC"/>
    <w:rsid w:val="1E1E21E7"/>
    <w:rsid w:val="1E214F2A"/>
    <w:rsid w:val="1E237736"/>
    <w:rsid w:val="1E242676"/>
    <w:rsid w:val="1E2566DA"/>
    <w:rsid w:val="1E2A4527"/>
    <w:rsid w:val="1E2D48C4"/>
    <w:rsid w:val="1E2D7F5D"/>
    <w:rsid w:val="1E32366D"/>
    <w:rsid w:val="1E3300E4"/>
    <w:rsid w:val="1E3463A0"/>
    <w:rsid w:val="1E363DC4"/>
    <w:rsid w:val="1E371794"/>
    <w:rsid w:val="1E3A5EC8"/>
    <w:rsid w:val="1E474E0D"/>
    <w:rsid w:val="1E505836"/>
    <w:rsid w:val="1E510853"/>
    <w:rsid w:val="1E527930"/>
    <w:rsid w:val="1E5C1BD8"/>
    <w:rsid w:val="1E5F74B2"/>
    <w:rsid w:val="1E635018"/>
    <w:rsid w:val="1E6805A9"/>
    <w:rsid w:val="1E6A6411"/>
    <w:rsid w:val="1E6B2D73"/>
    <w:rsid w:val="1E6F712E"/>
    <w:rsid w:val="1E7177FA"/>
    <w:rsid w:val="1E747476"/>
    <w:rsid w:val="1E763007"/>
    <w:rsid w:val="1E7F389C"/>
    <w:rsid w:val="1E814CED"/>
    <w:rsid w:val="1E8469F9"/>
    <w:rsid w:val="1E880DBF"/>
    <w:rsid w:val="1E9749F0"/>
    <w:rsid w:val="1E9811D0"/>
    <w:rsid w:val="1E9C5BFF"/>
    <w:rsid w:val="1EAB1199"/>
    <w:rsid w:val="1EC372E7"/>
    <w:rsid w:val="1ECC3FFD"/>
    <w:rsid w:val="1ED173FF"/>
    <w:rsid w:val="1ED2384F"/>
    <w:rsid w:val="1ED45A2E"/>
    <w:rsid w:val="1EDB26CA"/>
    <w:rsid w:val="1EDD43FA"/>
    <w:rsid w:val="1EDF453C"/>
    <w:rsid w:val="1EDF476D"/>
    <w:rsid w:val="1EE2069D"/>
    <w:rsid w:val="1EE50A5A"/>
    <w:rsid w:val="1EE6171A"/>
    <w:rsid w:val="1EEA697A"/>
    <w:rsid w:val="1EEC0C5C"/>
    <w:rsid w:val="1EF04D86"/>
    <w:rsid w:val="1EF81203"/>
    <w:rsid w:val="1F0545A2"/>
    <w:rsid w:val="1F092813"/>
    <w:rsid w:val="1F0B3EEE"/>
    <w:rsid w:val="1F0C7EB0"/>
    <w:rsid w:val="1F176E60"/>
    <w:rsid w:val="1F1D0AF3"/>
    <w:rsid w:val="1F225BA0"/>
    <w:rsid w:val="1F256BBB"/>
    <w:rsid w:val="1F2822B3"/>
    <w:rsid w:val="1F282554"/>
    <w:rsid w:val="1F2B5BA0"/>
    <w:rsid w:val="1F301408"/>
    <w:rsid w:val="1F307D9D"/>
    <w:rsid w:val="1F3541C0"/>
    <w:rsid w:val="1F37018C"/>
    <w:rsid w:val="1F376447"/>
    <w:rsid w:val="1F394761"/>
    <w:rsid w:val="1F4153C3"/>
    <w:rsid w:val="1F51433D"/>
    <w:rsid w:val="1F521E7C"/>
    <w:rsid w:val="1F532FA9"/>
    <w:rsid w:val="1F5500CB"/>
    <w:rsid w:val="1F5E564A"/>
    <w:rsid w:val="1F623C55"/>
    <w:rsid w:val="1F705C16"/>
    <w:rsid w:val="1F7539F2"/>
    <w:rsid w:val="1F786BFA"/>
    <w:rsid w:val="1F7A140D"/>
    <w:rsid w:val="1F7C2D1B"/>
    <w:rsid w:val="1F7C4AFF"/>
    <w:rsid w:val="1F7E2174"/>
    <w:rsid w:val="1F8359DC"/>
    <w:rsid w:val="1F83778A"/>
    <w:rsid w:val="1F847C23"/>
    <w:rsid w:val="1F8B1F95"/>
    <w:rsid w:val="1F8B69B5"/>
    <w:rsid w:val="1F8F0786"/>
    <w:rsid w:val="1F926008"/>
    <w:rsid w:val="1F9279CD"/>
    <w:rsid w:val="1F941815"/>
    <w:rsid w:val="1F9A340A"/>
    <w:rsid w:val="1F9C6A9E"/>
    <w:rsid w:val="1F9E22F5"/>
    <w:rsid w:val="1FA53BA4"/>
    <w:rsid w:val="1FAE4160"/>
    <w:rsid w:val="1FB31A5F"/>
    <w:rsid w:val="1FC3159A"/>
    <w:rsid w:val="1FC40DEA"/>
    <w:rsid w:val="1FC8212B"/>
    <w:rsid w:val="1FC97C87"/>
    <w:rsid w:val="1FCC023A"/>
    <w:rsid w:val="1FCC2DF5"/>
    <w:rsid w:val="1FCE08B2"/>
    <w:rsid w:val="1FDE3F49"/>
    <w:rsid w:val="1FDE41D2"/>
    <w:rsid w:val="1FE47ADD"/>
    <w:rsid w:val="1FE933AA"/>
    <w:rsid w:val="1FEA2CEF"/>
    <w:rsid w:val="1FED4E93"/>
    <w:rsid w:val="1FF468DA"/>
    <w:rsid w:val="1FF9105D"/>
    <w:rsid w:val="1FFC170E"/>
    <w:rsid w:val="1FFC3D78"/>
    <w:rsid w:val="20032921"/>
    <w:rsid w:val="200510D9"/>
    <w:rsid w:val="200A42EE"/>
    <w:rsid w:val="201051B9"/>
    <w:rsid w:val="201216AD"/>
    <w:rsid w:val="201A2520"/>
    <w:rsid w:val="20241C77"/>
    <w:rsid w:val="20280F84"/>
    <w:rsid w:val="20340A84"/>
    <w:rsid w:val="203C0B52"/>
    <w:rsid w:val="2040794E"/>
    <w:rsid w:val="20460DDC"/>
    <w:rsid w:val="204D6F6C"/>
    <w:rsid w:val="20506C8E"/>
    <w:rsid w:val="20586FE4"/>
    <w:rsid w:val="2059246C"/>
    <w:rsid w:val="205C7D47"/>
    <w:rsid w:val="2061013F"/>
    <w:rsid w:val="20650D38"/>
    <w:rsid w:val="206C46C2"/>
    <w:rsid w:val="206E043A"/>
    <w:rsid w:val="207322E4"/>
    <w:rsid w:val="20781866"/>
    <w:rsid w:val="20785235"/>
    <w:rsid w:val="207C7F6E"/>
    <w:rsid w:val="207E6C3D"/>
    <w:rsid w:val="207F43D9"/>
    <w:rsid w:val="20893ECE"/>
    <w:rsid w:val="208D6F54"/>
    <w:rsid w:val="208E5A67"/>
    <w:rsid w:val="209128E5"/>
    <w:rsid w:val="20955599"/>
    <w:rsid w:val="20992FDD"/>
    <w:rsid w:val="20A762F2"/>
    <w:rsid w:val="20A84AFD"/>
    <w:rsid w:val="20AA1C69"/>
    <w:rsid w:val="20AA5651"/>
    <w:rsid w:val="20B336D0"/>
    <w:rsid w:val="20B805CF"/>
    <w:rsid w:val="20B95752"/>
    <w:rsid w:val="20BA09F2"/>
    <w:rsid w:val="20BF5984"/>
    <w:rsid w:val="20BF7004"/>
    <w:rsid w:val="20C4005A"/>
    <w:rsid w:val="20C75134"/>
    <w:rsid w:val="20CF69FF"/>
    <w:rsid w:val="20CF70D3"/>
    <w:rsid w:val="20D85658"/>
    <w:rsid w:val="20DA452F"/>
    <w:rsid w:val="20DE44E2"/>
    <w:rsid w:val="20E40D06"/>
    <w:rsid w:val="20E70DDA"/>
    <w:rsid w:val="20EE4DDE"/>
    <w:rsid w:val="20EE5292"/>
    <w:rsid w:val="20EE7A98"/>
    <w:rsid w:val="20F012DA"/>
    <w:rsid w:val="20F91B22"/>
    <w:rsid w:val="2102118F"/>
    <w:rsid w:val="210370E2"/>
    <w:rsid w:val="21057CBC"/>
    <w:rsid w:val="210643F0"/>
    <w:rsid w:val="210E2502"/>
    <w:rsid w:val="210E3524"/>
    <w:rsid w:val="210E39CB"/>
    <w:rsid w:val="210F494A"/>
    <w:rsid w:val="21107DFA"/>
    <w:rsid w:val="21126A1E"/>
    <w:rsid w:val="2116490A"/>
    <w:rsid w:val="21197C6C"/>
    <w:rsid w:val="211A3117"/>
    <w:rsid w:val="211D6ED8"/>
    <w:rsid w:val="21210F03"/>
    <w:rsid w:val="212150B8"/>
    <w:rsid w:val="21260D15"/>
    <w:rsid w:val="21365E4F"/>
    <w:rsid w:val="213A5A02"/>
    <w:rsid w:val="21414FA7"/>
    <w:rsid w:val="214271D1"/>
    <w:rsid w:val="21432762"/>
    <w:rsid w:val="214A5A38"/>
    <w:rsid w:val="214C24EF"/>
    <w:rsid w:val="215E42F1"/>
    <w:rsid w:val="215F3821"/>
    <w:rsid w:val="215F5D66"/>
    <w:rsid w:val="21665F3D"/>
    <w:rsid w:val="216B420D"/>
    <w:rsid w:val="217355DC"/>
    <w:rsid w:val="217413CD"/>
    <w:rsid w:val="217557F8"/>
    <w:rsid w:val="217627C5"/>
    <w:rsid w:val="217C62EF"/>
    <w:rsid w:val="217C6B87"/>
    <w:rsid w:val="21864314"/>
    <w:rsid w:val="21865F85"/>
    <w:rsid w:val="21905D83"/>
    <w:rsid w:val="21906017"/>
    <w:rsid w:val="21933051"/>
    <w:rsid w:val="219739C1"/>
    <w:rsid w:val="219937B6"/>
    <w:rsid w:val="219B228D"/>
    <w:rsid w:val="219C1847"/>
    <w:rsid w:val="219C7087"/>
    <w:rsid w:val="219D2205"/>
    <w:rsid w:val="21A2770F"/>
    <w:rsid w:val="21A8797C"/>
    <w:rsid w:val="21A97C41"/>
    <w:rsid w:val="21AA16FB"/>
    <w:rsid w:val="21AA3480"/>
    <w:rsid w:val="21AF4DC3"/>
    <w:rsid w:val="21B03F9D"/>
    <w:rsid w:val="21B06830"/>
    <w:rsid w:val="21C06F92"/>
    <w:rsid w:val="21C26D31"/>
    <w:rsid w:val="21C84E9E"/>
    <w:rsid w:val="21CB5CF6"/>
    <w:rsid w:val="21CD2F3E"/>
    <w:rsid w:val="21D26F0C"/>
    <w:rsid w:val="21D56297"/>
    <w:rsid w:val="21DB649A"/>
    <w:rsid w:val="21DF3601"/>
    <w:rsid w:val="21E27DA0"/>
    <w:rsid w:val="21E5632B"/>
    <w:rsid w:val="21E70736"/>
    <w:rsid w:val="21ED25B6"/>
    <w:rsid w:val="21F143E4"/>
    <w:rsid w:val="21F21B9F"/>
    <w:rsid w:val="21F718D2"/>
    <w:rsid w:val="21FD0FFF"/>
    <w:rsid w:val="220643AF"/>
    <w:rsid w:val="22077889"/>
    <w:rsid w:val="220E44FD"/>
    <w:rsid w:val="22104944"/>
    <w:rsid w:val="22121D33"/>
    <w:rsid w:val="2218661D"/>
    <w:rsid w:val="221A374B"/>
    <w:rsid w:val="221A671C"/>
    <w:rsid w:val="2225695B"/>
    <w:rsid w:val="222B4A26"/>
    <w:rsid w:val="22356D36"/>
    <w:rsid w:val="22372AAE"/>
    <w:rsid w:val="22377C1D"/>
    <w:rsid w:val="22413173"/>
    <w:rsid w:val="2245341D"/>
    <w:rsid w:val="224C1EE4"/>
    <w:rsid w:val="224E5006"/>
    <w:rsid w:val="22513127"/>
    <w:rsid w:val="225208D8"/>
    <w:rsid w:val="225F4FD4"/>
    <w:rsid w:val="225F71CC"/>
    <w:rsid w:val="22606663"/>
    <w:rsid w:val="2262082B"/>
    <w:rsid w:val="226C6BFB"/>
    <w:rsid w:val="226E0F46"/>
    <w:rsid w:val="22717D6E"/>
    <w:rsid w:val="22721109"/>
    <w:rsid w:val="22794A39"/>
    <w:rsid w:val="227D33B1"/>
    <w:rsid w:val="227E489F"/>
    <w:rsid w:val="22823533"/>
    <w:rsid w:val="22880432"/>
    <w:rsid w:val="228B3EFA"/>
    <w:rsid w:val="228B7D1B"/>
    <w:rsid w:val="22930AC2"/>
    <w:rsid w:val="229677D4"/>
    <w:rsid w:val="22981B95"/>
    <w:rsid w:val="229A0584"/>
    <w:rsid w:val="22A11BBD"/>
    <w:rsid w:val="22A348B6"/>
    <w:rsid w:val="22A51CFF"/>
    <w:rsid w:val="22A5618C"/>
    <w:rsid w:val="22A74638"/>
    <w:rsid w:val="22AA14D2"/>
    <w:rsid w:val="22AC349C"/>
    <w:rsid w:val="22B9400A"/>
    <w:rsid w:val="22BB1853"/>
    <w:rsid w:val="22BC2B4B"/>
    <w:rsid w:val="22C22E9C"/>
    <w:rsid w:val="22C24A6D"/>
    <w:rsid w:val="22CA1EB7"/>
    <w:rsid w:val="22CE244F"/>
    <w:rsid w:val="22D93FF1"/>
    <w:rsid w:val="22E65A67"/>
    <w:rsid w:val="22E83DA8"/>
    <w:rsid w:val="22E93299"/>
    <w:rsid w:val="22EB5094"/>
    <w:rsid w:val="22EE7034"/>
    <w:rsid w:val="22FF7187"/>
    <w:rsid w:val="230666DC"/>
    <w:rsid w:val="230E7EA4"/>
    <w:rsid w:val="23193EB4"/>
    <w:rsid w:val="231B17F9"/>
    <w:rsid w:val="231F636F"/>
    <w:rsid w:val="232667A8"/>
    <w:rsid w:val="23275721"/>
    <w:rsid w:val="2328636C"/>
    <w:rsid w:val="23325A6C"/>
    <w:rsid w:val="23331FCF"/>
    <w:rsid w:val="23334F7E"/>
    <w:rsid w:val="23360FB7"/>
    <w:rsid w:val="233A304E"/>
    <w:rsid w:val="233D6806"/>
    <w:rsid w:val="2344186A"/>
    <w:rsid w:val="235176F4"/>
    <w:rsid w:val="23531723"/>
    <w:rsid w:val="235511EA"/>
    <w:rsid w:val="235558E1"/>
    <w:rsid w:val="235F5EC4"/>
    <w:rsid w:val="23644BFA"/>
    <w:rsid w:val="23690609"/>
    <w:rsid w:val="23691421"/>
    <w:rsid w:val="2375388E"/>
    <w:rsid w:val="237A3E4E"/>
    <w:rsid w:val="237E1230"/>
    <w:rsid w:val="2386210B"/>
    <w:rsid w:val="238726F4"/>
    <w:rsid w:val="23874C81"/>
    <w:rsid w:val="23875985"/>
    <w:rsid w:val="23881C13"/>
    <w:rsid w:val="238A29AB"/>
    <w:rsid w:val="238C57F7"/>
    <w:rsid w:val="238E1A8E"/>
    <w:rsid w:val="238F40D9"/>
    <w:rsid w:val="23931F66"/>
    <w:rsid w:val="23933508"/>
    <w:rsid w:val="239504D4"/>
    <w:rsid w:val="23950A3C"/>
    <w:rsid w:val="2396438D"/>
    <w:rsid w:val="239F525A"/>
    <w:rsid w:val="23A44BC6"/>
    <w:rsid w:val="23A92C60"/>
    <w:rsid w:val="23AB52C6"/>
    <w:rsid w:val="23B03FD9"/>
    <w:rsid w:val="23B17934"/>
    <w:rsid w:val="23B55677"/>
    <w:rsid w:val="23B819CC"/>
    <w:rsid w:val="23BA7F5A"/>
    <w:rsid w:val="23C13739"/>
    <w:rsid w:val="23C71602"/>
    <w:rsid w:val="23C860B3"/>
    <w:rsid w:val="23CA5E72"/>
    <w:rsid w:val="23D066EC"/>
    <w:rsid w:val="23D34F44"/>
    <w:rsid w:val="23D351A5"/>
    <w:rsid w:val="23E11DA2"/>
    <w:rsid w:val="23E235B0"/>
    <w:rsid w:val="23E26A49"/>
    <w:rsid w:val="23E427C1"/>
    <w:rsid w:val="23E74E71"/>
    <w:rsid w:val="23ED17D3"/>
    <w:rsid w:val="23F71BEC"/>
    <w:rsid w:val="23F867FF"/>
    <w:rsid w:val="24014F4E"/>
    <w:rsid w:val="24044813"/>
    <w:rsid w:val="240A1718"/>
    <w:rsid w:val="240F7D8B"/>
    <w:rsid w:val="241E3F05"/>
    <w:rsid w:val="24215577"/>
    <w:rsid w:val="242429A1"/>
    <w:rsid w:val="24280900"/>
    <w:rsid w:val="2428389C"/>
    <w:rsid w:val="24284DA4"/>
    <w:rsid w:val="24286AD0"/>
    <w:rsid w:val="242A6703"/>
    <w:rsid w:val="2439617A"/>
    <w:rsid w:val="243E45C7"/>
    <w:rsid w:val="2440206F"/>
    <w:rsid w:val="24424E18"/>
    <w:rsid w:val="24462A48"/>
    <w:rsid w:val="244E553B"/>
    <w:rsid w:val="245005B3"/>
    <w:rsid w:val="245636BF"/>
    <w:rsid w:val="245B37BE"/>
    <w:rsid w:val="24635540"/>
    <w:rsid w:val="24661A7D"/>
    <w:rsid w:val="247277A2"/>
    <w:rsid w:val="24746AEA"/>
    <w:rsid w:val="247905DE"/>
    <w:rsid w:val="247955FF"/>
    <w:rsid w:val="247B1377"/>
    <w:rsid w:val="247C75C5"/>
    <w:rsid w:val="2488744E"/>
    <w:rsid w:val="24940315"/>
    <w:rsid w:val="249604BE"/>
    <w:rsid w:val="249B52A0"/>
    <w:rsid w:val="24A0493A"/>
    <w:rsid w:val="24A31E88"/>
    <w:rsid w:val="24A57E1F"/>
    <w:rsid w:val="24AB131F"/>
    <w:rsid w:val="24B71C84"/>
    <w:rsid w:val="24BF08E2"/>
    <w:rsid w:val="24C504EE"/>
    <w:rsid w:val="24CD7C77"/>
    <w:rsid w:val="24D14521"/>
    <w:rsid w:val="24D44611"/>
    <w:rsid w:val="24D76545"/>
    <w:rsid w:val="24E00310"/>
    <w:rsid w:val="24E164AF"/>
    <w:rsid w:val="24E41B08"/>
    <w:rsid w:val="24E6242C"/>
    <w:rsid w:val="24E65466"/>
    <w:rsid w:val="24E944A8"/>
    <w:rsid w:val="24EA091B"/>
    <w:rsid w:val="24F61130"/>
    <w:rsid w:val="24FA32D7"/>
    <w:rsid w:val="24FB3B1A"/>
    <w:rsid w:val="24FC5064"/>
    <w:rsid w:val="24FE3964"/>
    <w:rsid w:val="25082314"/>
    <w:rsid w:val="250A0B82"/>
    <w:rsid w:val="250B6C88"/>
    <w:rsid w:val="250D16FB"/>
    <w:rsid w:val="250D27EF"/>
    <w:rsid w:val="250F2B73"/>
    <w:rsid w:val="25132A7F"/>
    <w:rsid w:val="25154D7C"/>
    <w:rsid w:val="251B1226"/>
    <w:rsid w:val="25207316"/>
    <w:rsid w:val="25212B2C"/>
    <w:rsid w:val="25230CAF"/>
    <w:rsid w:val="25373204"/>
    <w:rsid w:val="253A1C68"/>
    <w:rsid w:val="253C7281"/>
    <w:rsid w:val="25401AF0"/>
    <w:rsid w:val="25452B4F"/>
    <w:rsid w:val="25542A3A"/>
    <w:rsid w:val="25545725"/>
    <w:rsid w:val="25545821"/>
    <w:rsid w:val="255A2BE4"/>
    <w:rsid w:val="255A4BBE"/>
    <w:rsid w:val="255F2A47"/>
    <w:rsid w:val="256242E5"/>
    <w:rsid w:val="25627611"/>
    <w:rsid w:val="25636FED"/>
    <w:rsid w:val="25645A54"/>
    <w:rsid w:val="256733F0"/>
    <w:rsid w:val="25687941"/>
    <w:rsid w:val="25765EE6"/>
    <w:rsid w:val="25772EBB"/>
    <w:rsid w:val="25797FDB"/>
    <w:rsid w:val="257E2881"/>
    <w:rsid w:val="257E28B8"/>
    <w:rsid w:val="2580322B"/>
    <w:rsid w:val="25812E66"/>
    <w:rsid w:val="258167E3"/>
    <w:rsid w:val="25826F7E"/>
    <w:rsid w:val="25832019"/>
    <w:rsid w:val="25860C1E"/>
    <w:rsid w:val="25861D82"/>
    <w:rsid w:val="259331FE"/>
    <w:rsid w:val="25957FF8"/>
    <w:rsid w:val="25A149AC"/>
    <w:rsid w:val="25A47A05"/>
    <w:rsid w:val="25AD6BEE"/>
    <w:rsid w:val="25AF3F32"/>
    <w:rsid w:val="25B22A3B"/>
    <w:rsid w:val="25B655A6"/>
    <w:rsid w:val="25BA2D11"/>
    <w:rsid w:val="25C654B7"/>
    <w:rsid w:val="25CC6A3A"/>
    <w:rsid w:val="25CE6BE3"/>
    <w:rsid w:val="25D26873"/>
    <w:rsid w:val="25D36F91"/>
    <w:rsid w:val="25D73322"/>
    <w:rsid w:val="25D97596"/>
    <w:rsid w:val="25DA372A"/>
    <w:rsid w:val="25DA50B8"/>
    <w:rsid w:val="25DF37D9"/>
    <w:rsid w:val="25E37902"/>
    <w:rsid w:val="25ED312E"/>
    <w:rsid w:val="25F044F9"/>
    <w:rsid w:val="25F413E1"/>
    <w:rsid w:val="25F43EE0"/>
    <w:rsid w:val="25F52A64"/>
    <w:rsid w:val="25F64360"/>
    <w:rsid w:val="25F74971"/>
    <w:rsid w:val="25F9627B"/>
    <w:rsid w:val="25FB0431"/>
    <w:rsid w:val="25FC05B6"/>
    <w:rsid w:val="25FC1EBA"/>
    <w:rsid w:val="26040109"/>
    <w:rsid w:val="26060A54"/>
    <w:rsid w:val="26061962"/>
    <w:rsid w:val="260E7FC9"/>
    <w:rsid w:val="260F672F"/>
    <w:rsid w:val="26110E03"/>
    <w:rsid w:val="26120F2D"/>
    <w:rsid w:val="261703C2"/>
    <w:rsid w:val="26174A30"/>
    <w:rsid w:val="26175540"/>
    <w:rsid w:val="261A783F"/>
    <w:rsid w:val="26260F96"/>
    <w:rsid w:val="262C2F3C"/>
    <w:rsid w:val="262C56B0"/>
    <w:rsid w:val="263722F1"/>
    <w:rsid w:val="263776FB"/>
    <w:rsid w:val="263C18BA"/>
    <w:rsid w:val="2642755C"/>
    <w:rsid w:val="264439EB"/>
    <w:rsid w:val="26452EDC"/>
    <w:rsid w:val="264E3591"/>
    <w:rsid w:val="26507D69"/>
    <w:rsid w:val="2658461C"/>
    <w:rsid w:val="26590788"/>
    <w:rsid w:val="265D1B10"/>
    <w:rsid w:val="26604E2D"/>
    <w:rsid w:val="266056B1"/>
    <w:rsid w:val="26640280"/>
    <w:rsid w:val="2665408D"/>
    <w:rsid w:val="266A751B"/>
    <w:rsid w:val="266C5762"/>
    <w:rsid w:val="266D04E0"/>
    <w:rsid w:val="267150A0"/>
    <w:rsid w:val="2676220B"/>
    <w:rsid w:val="26784A91"/>
    <w:rsid w:val="267976EA"/>
    <w:rsid w:val="267D0DD4"/>
    <w:rsid w:val="267E00A6"/>
    <w:rsid w:val="267F6564"/>
    <w:rsid w:val="2681066F"/>
    <w:rsid w:val="268D6369"/>
    <w:rsid w:val="268D7F1A"/>
    <w:rsid w:val="268F5850"/>
    <w:rsid w:val="26900E65"/>
    <w:rsid w:val="269308F5"/>
    <w:rsid w:val="269E759F"/>
    <w:rsid w:val="26A0140A"/>
    <w:rsid w:val="26A31DBF"/>
    <w:rsid w:val="26A4480F"/>
    <w:rsid w:val="26AB027E"/>
    <w:rsid w:val="26B119F1"/>
    <w:rsid w:val="26BA3C53"/>
    <w:rsid w:val="26BD3478"/>
    <w:rsid w:val="26C115C4"/>
    <w:rsid w:val="26CB5BEC"/>
    <w:rsid w:val="26CE34D2"/>
    <w:rsid w:val="26CE7E81"/>
    <w:rsid w:val="26D17EE9"/>
    <w:rsid w:val="26D26B3A"/>
    <w:rsid w:val="26D4573B"/>
    <w:rsid w:val="26D51ADE"/>
    <w:rsid w:val="26D91F98"/>
    <w:rsid w:val="26DB7EAB"/>
    <w:rsid w:val="26E57236"/>
    <w:rsid w:val="26E70819"/>
    <w:rsid w:val="26E72ED9"/>
    <w:rsid w:val="26E812D7"/>
    <w:rsid w:val="26E86E1F"/>
    <w:rsid w:val="26E969EF"/>
    <w:rsid w:val="26ED0B15"/>
    <w:rsid w:val="26EF3055"/>
    <w:rsid w:val="26F23447"/>
    <w:rsid w:val="26F614FF"/>
    <w:rsid w:val="27004AEF"/>
    <w:rsid w:val="27085698"/>
    <w:rsid w:val="270B5410"/>
    <w:rsid w:val="27152075"/>
    <w:rsid w:val="271C1C54"/>
    <w:rsid w:val="271C3FAB"/>
    <w:rsid w:val="271C6DEF"/>
    <w:rsid w:val="27206206"/>
    <w:rsid w:val="2722517B"/>
    <w:rsid w:val="27257379"/>
    <w:rsid w:val="2726309C"/>
    <w:rsid w:val="27293B1D"/>
    <w:rsid w:val="272D7547"/>
    <w:rsid w:val="27314FD7"/>
    <w:rsid w:val="27325E70"/>
    <w:rsid w:val="27341B93"/>
    <w:rsid w:val="273D46C2"/>
    <w:rsid w:val="27420834"/>
    <w:rsid w:val="27430D53"/>
    <w:rsid w:val="2743179B"/>
    <w:rsid w:val="2745364F"/>
    <w:rsid w:val="274F06E6"/>
    <w:rsid w:val="27537702"/>
    <w:rsid w:val="27553494"/>
    <w:rsid w:val="275B0FEC"/>
    <w:rsid w:val="275E4ADD"/>
    <w:rsid w:val="275E5ED0"/>
    <w:rsid w:val="27644968"/>
    <w:rsid w:val="27683BBF"/>
    <w:rsid w:val="276A5BAC"/>
    <w:rsid w:val="27752950"/>
    <w:rsid w:val="277F4E9F"/>
    <w:rsid w:val="278100F8"/>
    <w:rsid w:val="27835B31"/>
    <w:rsid w:val="27840543"/>
    <w:rsid w:val="2786250D"/>
    <w:rsid w:val="27896E11"/>
    <w:rsid w:val="278B23EE"/>
    <w:rsid w:val="278C4A28"/>
    <w:rsid w:val="27934C2A"/>
    <w:rsid w:val="279C7ABE"/>
    <w:rsid w:val="279D1605"/>
    <w:rsid w:val="27B506FD"/>
    <w:rsid w:val="27B52D32"/>
    <w:rsid w:val="27B55CAE"/>
    <w:rsid w:val="27B828EC"/>
    <w:rsid w:val="27B9747D"/>
    <w:rsid w:val="27BD24F4"/>
    <w:rsid w:val="27BD3A45"/>
    <w:rsid w:val="27BD43A5"/>
    <w:rsid w:val="27BF77CD"/>
    <w:rsid w:val="27C07B7F"/>
    <w:rsid w:val="27C22234"/>
    <w:rsid w:val="27CE4E03"/>
    <w:rsid w:val="27D30046"/>
    <w:rsid w:val="27D4336A"/>
    <w:rsid w:val="27D44BC7"/>
    <w:rsid w:val="27D56FF1"/>
    <w:rsid w:val="27D72D69"/>
    <w:rsid w:val="27DC53D7"/>
    <w:rsid w:val="27F60128"/>
    <w:rsid w:val="27FB3370"/>
    <w:rsid w:val="280C3082"/>
    <w:rsid w:val="280D678A"/>
    <w:rsid w:val="280F761E"/>
    <w:rsid w:val="28100970"/>
    <w:rsid w:val="28130FC3"/>
    <w:rsid w:val="281B6C30"/>
    <w:rsid w:val="281D3390"/>
    <w:rsid w:val="281D62A2"/>
    <w:rsid w:val="281E451F"/>
    <w:rsid w:val="281F026C"/>
    <w:rsid w:val="28242AFE"/>
    <w:rsid w:val="2824302E"/>
    <w:rsid w:val="28255646"/>
    <w:rsid w:val="282D4DA2"/>
    <w:rsid w:val="28302666"/>
    <w:rsid w:val="28341F69"/>
    <w:rsid w:val="28352993"/>
    <w:rsid w:val="283703D0"/>
    <w:rsid w:val="283A7C94"/>
    <w:rsid w:val="283F1E7D"/>
    <w:rsid w:val="283F6FC6"/>
    <w:rsid w:val="28410EB0"/>
    <w:rsid w:val="284576F3"/>
    <w:rsid w:val="284763CA"/>
    <w:rsid w:val="284929D4"/>
    <w:rsid w:val="284B4A54"/>
    <w:rsid w:val="284C1CF1"/>
    <w:rsid w:val="284D7976"/>
    <w:rsid w:val="284F2393"/>
    <w:rsid w:val="285259C3"/>
    <w:rsid w:val="285E1CEA"/>
    <w:rsid w:val="285E4750"/>
    <w:rsid w:val="285E68F8"/>
    <w:rsid w:val="28616AD6"/>
    <w:rsid w:val="286248FC"/>
    <w:rsid w:val="28624B94"/>
    <w:rsid w:val="28643BAC"/>
    <w:rsid w:val="286E3006"/>
    <w:rsid w:val="286F0F65"/>
    <w:rsid w:val="28724840"/>
    <w:rsid w:val="287711AE"/>
    <w:rsid w:val="28810C2F"/>
    <w:rsid w:val="28821CD7"/>
    <w:rsid w:val="28832153"/>
    <w:rsid w:val="28862099"/>
    <w:rsid w:val="28884063"/>
    <w:rsid w:val="288C402F"/>
    <w:rsid w:val="288D3427"/>
    <w:rsid w:val="2891552F"/>
    <w:rsid w:val="2894371A"/>
    <w:rsid w:val="289B1FE8"/>
    <w:rsid w:val="289C4061"/>
    <w:rsid w:val="289F315B"/>
    <w:rsid w:val="289F3CAC"/>
    <w:rsid w:val="28A80B21"/>
    <w:rsid w:val="28AF01B8"/>
    <w:rsid w:val="28AF56E0"/>
    <w:rsid w:val="28B05B60"/>
    <w:rsid w:val="28BF2E88"/>
    <w:rsid w:val="28C400EC"/>
    <w:rsid w:val="28CF4E13"/>
    <w:rsid w:val="28D30B77"/>
    <w:rsid w:val="28D321E2"/>
    <w:rsid w:val="28D36BF1"/>
    <w:rsid w:val="28D70B46"/>
    <w:rsid w:val="28D973AE"/>
    <w:rsid w:val="28E74484"/>
    <w:rsid w:val="28ED2118"/>
    <w:rsid w:val="28F05CD9"/>
    <w:rsid w:val="28F364BD"/>
    <w:rsid w:val="28F36811"/>
    <w:rsid w:val="28FC235B"/>
    <w:rsid w:val="29023E15"/>
    <w:rsid w:val="29034D8E"/>
    <w:rsid w:val="2907142C"/>
    <w:rsid w:val="290A667A"/>
    <w:rsid w:val="290B0C0D"/>
    <w:rsid w:val="290B5FD7"/>
    <w:rsid w:val="290D640A"/>
    <w:rsid w:val="29162756"/>
    <w:rsid w:val="291A4C7E"/>
    <w:rsid w:val="291B4ED7"/>
    <w:rsid w:val="291E22D1"/>
    <w:rsid w:val="291F0427"/>
    <w:rsid w:val="292555F9"/>
    <w:rsid w:val="292618FC"/>
    <w:rsid w:val="29315699"/>
    <w:rsid w:val="29336FB4"/>
    <w:rsid w:val="2936246C"/>
    <w:rsid w:val="293C79A7"/>
    <w:rsid w:val="293D2697"/>
    <w:rsid w:val="29422464"/>
    <w:rsid w:val="29454D6E"/>
    <w:rsid w:val="29464477"/>
    <w:rsid w:val="294F4DA4"/>
    <w:rsid w:val="295449EC"/>
    <w:rsid w:val="29554FB8"/>
    <w:rsid w:val="295D23DB"/>
    <w:rsid w:val="296B6D7E"/>
    <w:rsid w:val="297172A8"/>
    <w:rsid w:val="29786483"/>
    <w:rsid w:val="2983564B"/>
    <w:rsid w:val="29853FA2"/>
    <w:rsid w:val="2986365A"/>
    <w:rsid w:val="298C7C6B"/>
    <w:rsid w:val="298F2D60"/>
    <w:rsid w:val="29907D15"/>
    <w:rsid w:val="299C2B37"/>
    <w:rsid w:val="29A03597"/>
    <w:rsid w:val="29A4703D"/>
    <w:rsid w:val="29A50264"/>
    <w:rsid w:val="29AF3FCC"/>
    <w:rsid w:val="29BC502E"/>
    <w:rsid w:val="29BE52CE"/>
    <w:rsid w:val="29CA7D6B"/>
    <w:rsid w:val="29CE6AED"/>
    <w:rsid w:val="29D35CB3"/>
    <w:rsid w:val="29DB2E13"/>
    <w:rsid w:val="29DB795F"/>
    <w:rsid w:val="29E67538"/>
    <w:rsid w:val="29E677D4"/>
    <w:rsid w:val="29EC2923"/>
    <w:rsid w:val="29EF3C6E"/>
    <w:rsid w:val="29F43C64"/>
    <w:rsid w:val="29FA25C8"/>
    <w:rsid w:val="29FB4557"/>
    <w:rsid w:val="29FD19B7"/>
    <w:rsid w:val="29FD435A"/>
    <w:rsid w:val="2A0815C1"/>
    <w:rsid w:val="2A0D30D8"/>
    <w:rsid w:val="2A0F5E0A"/>
    <w:rsid w:val="2A112438"/>
    <w:rsid w:val="2A15702C"/>
    <w:rsid w:val="2A1808B1"/>
    <w:rsid w:val="2A181440"/>
    <w:rsid w:val="2A1C72FC"/>
    <w:rsid w:val="2A1D0793"/>
    <w:rsid w:val="2A232024"/>
    <w:rsid w:val="2A23375B"/>
    <w:rsid w:val="2A26647F"/>
    <w:rsid w:val="2A29188B"/>
    <w:rsid w:val="2A34446A"/>
    <w:rsid w:val="2A3F4296"/>
    <w:rsid w:val="2A43220E"/>
    <w:rsid w:val="2A5C1303"/>
    <w:rsid w:val="2A6021EF"/>
    <w:rsid w:val="2A653FE2"/>
    <w:rsid w:val="2A6E47D0"/>
    <w:rsid w:val="2A7A5040"/>
    <w:rsid w:val="2A7E74F9"/>
    <w:rsid w:val="2A856183"/>
    <w:rsid w:val="2A89559E"/>
    <w:rsid w:val="2A94612D"/>
    <w:rsid w:val="2A97058D"/>
    <w:rsid w:val="2A9C5B40"/>
    <w:rsid w:val="2AA36F32"/>
    <w:rsid w:val="2AA400F4"/>
    <w:rsid w:val="2AA643AC"/>
    <w:rsid w:val="2AAC54BB"/>
    <w:rsid w:val="2AB11A39"/>
    <w:rsid w:val="2AB15325"/>
    <w:rsid w:val="2AB27589"/>
    <w:rsid w:val="2AB30A89"/>
    <w:rsid w:val="2AB57FF9"/>
    <w:rsid w:val="2AB90ADF"/>
    <w:rsid w:val="2ABA19A7"/>
    <w:rsid w:val="2ABA44A8"/>
    <w:rsid w:val="2ABA6371"/>
    <w:rsid w:val="2ABC1DA2"/>
    <w:rsid w:val="2AC12D4D"/>
    <w:rsid w:val="2AC329D5"/>
    <w:rsid w:val="2AC87D23"/>
    <w:rsid w:val="2ACC151A"/>
    <w:rsid w:val="2ACC28DA"/>
    <w:rsid w:val="2ADC3327"/>
    <w:rsid w:val="2ADD0E74"/>
    <w:rsid w:val="2AE11D66"/>
    <w:rsid w:val="2AE374B9"/>
    <w:rsid w:val="2AE83824"/>
    <w:rsid w:val="2AE94B0E"/>
    <w:rsid w:val="2AEB102F"/>
    <w:rsid w:val="2AEB2687"/>
    <w:rsid w:val="2AF14F00"/>
    <w:rsid w:val="2AF4565C"/>
    <w:rsid w:val="2AFA0056"/>
    <w:rsid w:val="2AFA470A"/>
    <w:rsid w:val="2B012590"/>
    <w:rsid w:val="2B0C20F7"/>
    <w:rsid w:val="2B0C4EE1"/>
    <w:rsid w:val="2B0F1D0A"/>
    <w:rsid w:val="2B0F5533"/>
    <w:rsid w:val="2B1A215D"/>
    <w:rsid w:val="2B1B65B9"/>
    <w:rsid w:val="2B1F527C"/>
    <w:rsid w:val="2B22094C"/>
    <w:rsid w:val="2B224C5D"/>
    <w:rsid w:val="2B241B31"/>
    <w:rsid w:val="2B2706A2"/>
    <w:rsid w:val="2B28252F"/>
    <w:rsid w:val="2B2C517A"/>
    <w:rsid w:val="2B3344D8"/>
    <w:rsid w:val="2B450B78"/>
    <w:rsid w:val="2B461FAE"/>
    <w:rsid w:val="2B4665D5"/>
    <w:rsid w:val="2B4C75CA"/>
    <w:rsid w:val="2B4D31F0"/>
    <w:rsid w:val="2B4F71D5"/>
    <w:rsid w:val="2B527EE3"/>
    <w:rsid w:val="2B580D2F"/>
    <w:rsid w:val="2B595F47"/>
    <w:rsid w:val="2B5B08A7"/>
    <w:rsid w:val="2B5C1416"/>
    <w:rsid w:val="2B5E1A74"/>
    <w:rsid w:val="2B632B65"/>
    <w:rsid w:val="2B667187"/>
    <w:rsid w:val="2B6C37C8"/>
    <w:rsid w:val="2B762A9F"/>
    <w:rsid w:val="2B7D4228"/>
    <w:rsid w:val="2B82321A"/>
    <w:rsid w:val="2B823927"/>
    <w:rsid w:val="2B874473"/>
    <w:rsid w:val="2B886128"/>
    <w:rsid w:val="2B8A6EA5"/>
    <w:rsid w:val="2B8B70C4"/>
    <w:rsid w:val="2B8F7512"/>
    <w:rsid w:val="2B9164CF"/>
    <w:rsid w:val="2B9576E2"/>
    <w:rsid w:val="2B9A4D5A"/>
    <w:rsid w:val="2B9D3851"/>
    <w:rsid w:val="2BA41CAA"/>
    <w:rsid w:val="2BAE3DE1"/>
    <w:rsid w:val="2BB700E0"/>
    <w:rsid w:val="2BBD4491"/>
    <w:rsid w:val="2BBE79E4"/>
    <w:rsid w:val="2BC2082C"/>
    <w:rsid w:val="2BC27109"/>
    <w:rsid w:val="2BC52ED8"/>
    <w:rsid w:val="2BC76C50"/>
    <w:rsid w:val="2BCD0A04"/>
    <w:rsid w:val="2BCF1F15"/>
    <w:rsid w:val="2BD0498A"/>
    <w:rsid w:val="2BD25B6F"/>
    <w:rsid w:val="2BD60954"/>
    <w:rsid w:val="2BDB3ED0"/>
    <w:rsid w:val="2BEB0DD4"/>
    <w:rsid w:val="2BEC51D8"/>
    <w:rsid w:val="2BEE6C0E"/>
    <w:rsid w:val="2BEF1A87"/>
    <w:rsid w:val="2BF75607"/>
    <w:rsid w:val="2BF77AE8"/>
    <w:rsid w:val="2BFA7026"/>
    <w:rsid w:val="2BFC6FD4"/>
    <w:rsid w:val="2C0368C6"/>
    <w:rsid w:val="2C05500E"/>
    <w:rsid w:val="2C0B2FE1"/>
    <w:rsid w:val="2C0C0B07"/>
    <w:rsid w:val="2C0F7712"/>
    <w:rsid w:val="2C1134D0"/>
    <w:rsid w:val="2C246940"/>
    <w:rsid w:val="2C290D81"/>
    <w:rsid w:val="2C2E78B5"/>
    <w:rsid w:val="2C3551A2"/>
    <w:rsid w:val="2C3C1EC1"/>
    <w:rsid w:val="2C42462B"/>
    <w:rsid w:val="2C437300"/>
    <w:rsid w:val="2C4B219E"/>
    <w:rsid w:val="2C4E7372"/>
    <w:rsid w:val="2C4F6D41"/>
    <w:rsid w:val="2C5B41CA"/>
    <w:rsid w:val="2C5D0B16"/>
    <w:rsid w:val="2C6A377A"/>
    <w:rsid w:val="2C75368A"/>
    <w:rsid w:val="2C7D17AB"/>
    <w:rsid w:val="2C803EDB"/>
    <w:rsid w:val="2C821211"/>
    <w:rsid w:val="2C841B39"/>
    <w:rsid w:val="2C866B0B"/>
    <w:rsid w:val="2C8965FC"/>
    <w:rsid w:val="2C8A1EDE"/>
    <w:rsid w:val="2C8A6306"/>
    <w:rsid w:val="2C9034E6"/>
    <w:rsid w:val="2C9116B8"/>
    <w:rsid w:val="2C995C25"/>
    <w:rsid w:val="2C9C5116"/>
    <w:rsid w:val="2CA01851"/>
    <w:rsid w:val="2CA122DA"/>
    <w:rsid w:val="2CA423D8"/>
    <w:rsid w:val="2CA96082"/>
    <w:rsid w:val="2CAA01BE"/>
    <w:rsid w:val="2CAE345F"/>
    <w:rsid w:val="2CB43679"/>
    <w:rsid w:val="2CB50CBF"/>
    <w:rsid w:val="2CB85977"/>
    <w:rsid w:val="2CBB5644"/>
    <w:rsid w:val="2CBD0690"/>
    <w:rsid w:val="2CBE40F4"/>
    <w:rsid w:val="2CC24ECD"/>
    <w:rsid w:val="2CC26216"/>
    <w:rsid w:val="2CC44205"/>
    <w:rsid w:val="2CC47634"/>
    <w:rsid w:val="2CC55793"/>
    <w:rsid w:val="2CC969F8"/>
    <w:rsid w:val="2CCA19AD"/>
    <w:rsid w:val="2CCB09C2"/>
    <w:rsid w:val="2CCE189E"/>
    <w:rsid w:val="2CCF04B2"/>
    <w:rsid w:val="2CCF5DDE"/>
    <w:rsid w:val="2CDA3B55"/>
    <w:rsid w:val="2CDB0944"/>
    <w:rsid w:val="2CDC54D1"/>
    <w:rsid w:val="2CDD3EC5"/>
    <w:rsid w:val="2CE27267"/>
    <w:rsid w:val="2CE45218"/>
    <w:rsid w:val="2CE51A84"/>
    <w:rsid w:val="2CE74D39"/>
    <w:rsid w:val="2CE8150A"/>
    <w:rsid w:val="2CF04B2B"/>
    <w:rsid w:val="2CF06CC2"/>
    <w:rsid w:val="2CF4573F"/>
    <w:rsid w:val="2CFA03A5"/>
    <w:rsid w:val="2CFB12A7"/>
    <w:rsid w:val="2CFF066C"/>
    <w:rsid w:val="2D016444"/>
    <w:rsid w:val="2D0B00A7"/>
    <w:rsid w:val="2D0B16C5"/>
    <w:rsid w:val="2D0D1754"/>
    <w:rsid w:val="2D0D1E1A"/>
    <w:rsid w:val="2D0D6A6B"/>
    <w:rsid w:val="2D12077C"/>
    <w:rsid w:val="2D1715C6"/>
    <w:rsid w:val="2D1943ED"/>
    <w:rsid w:val="2D1D3D27"/>
    <w:rsid w:val="2D1F6742"/>
    <w:rsid w:val="2D270FD0"/>
    <w:rsid w:val="2D277EFB"/>
    <w:rsid w:val="2D31047C"/>
    <w:rsid w:val="2D3136D3"/>
    <w:rsid w:val="2D314CC9"/>
    <w:rsid w:val="2D3178DC"/>
    <w:rsid w:val="2D324DB9"/>
    <w:rsid w:val="2D334CAC"/>
    <w:rsid w:val="2D360531"/>
    <w:rsid w:val="2D396665"/>
    <w:rsid w:val="2D426862"/>
    <w:rsid w:val="2D4367AA"/>
    <w:rsid w:val="2D4370D2"/>
    <w:rsid w:val="2D450D5F"/>
    <w:rsid w:val="2D4761C0"/>
    <w:rsid w:val="2D4E3F0C"/>
    <w:rsid w:val="2D5B4B27"/>
    <w:rsid w:val="2D5D08DD"/>
    <w:rsid w:val="2D6055AE"/>
    <w:rsid w:val="2D636224"/>
    <w:rsid w:val="2D646B9E"/>
    <w:rsid w:val="2D6B244F"/>
    <w:rsid w:val="2D6B5D7F"/>
    <w:rsid w:val="2D700E9E"/>
    <w:rsid w:val="2D8B4452"/>
    <w:rsid w:val="2D8D53A8"/>
    <w:rsid w:val="2D976683"/>
    <w:rsid w:val="2D9E3E78"/>
    <w:rsid w:val="2DA01E4F"/>
    <w:rsid w:val="2DAB621D"/>
    <w:rsid w:val="2DAC24B5"/>
    <w:rsid w:val="2DB17BB8"/>
    <w:rsid w:val="2DB27C81"/>
    <w:rsid w:val="2DBC5013"/>
    <w:rsid w:val="2DCD0958"/>
    <w:rsid w:val="2DCF003E"/>
    <w:rsid w:val="2DD27CA8"/>
    <w:rsid w:val="2DDA0237"/>
    <w:rsid w:val="2DE35338"/>
    <w:rsid w:val="2DE97FFE"/>
    <w:rsid w:val="2DEB4A08"/>
    <w:rsid w:val="2DEC09F4"/>
    <w:rsid w:val="2DF714A1"/>
    <w:rsid w:val="2E0019A3"/>
    <w:rsid w:val="2E093550"/>
    <w:rsid w:val="2E0A7A05"/>
    <w:rsid w:val="2E1343CF"/>
    <w:rsid w:val="2E194F3D"/>
    <w:rsid w:val="2E287B61"/>
    <w:rsid w:val="2E317F48"/>
    <w:rsid w:val="2E3D028C"/>
    <w:rsid w:val="2E3E0198"/>
    <w:rsid w:val="2E3F0BEE"/>
    <w:rsid w:val="2E4652C5"/>
    <w:rsid w:val="2E496803"/>
    <w:rsid w:val="2E4A28CA"/>
    <w:rsid w:val="2E4D5A50"/>
    <w:rsid w:val="2E4D77A9"/>
    <w:rsid w:val="2E560939"/>
    <w:rsid w:val="2E5A7CD6"/>
    <w:rsid w:val="2E5E648E"/>
    <w:rsid w:val="2E70537D"/>
    <w:rsid w:val="2E790DE1"/>
    <w:rsid w:val="2E7973ED"/>
    <w:rsid w:val="2E7B3153"/>
    <w:rsid w:val="2E7C78DB"/>
    <w:rsid w:val="2E877342"/>
    <w:rsid w:val="2E8E35A8"/>
    <w:rsid w:val="2E9123DB"/>
    <w:rsid w:val="2E9136EE"/>
    <w:rsid w:val="2E957101"/>
    <w:rsid w:val="2E9A471C"/>
    <w:rsid w:val="2EA25753"/>
    <w:rsid w:val="2EAA1BD0"/>
    <w:rsid w:val="2EB37D85"/>
    <w:rsid w:val="2EBB5220"/>
    <w:rsid w:val="2EBC5351"/>
    <w:rsid w:val="2EBE07DF"/>
    <w:rsid w:val="2EC456C9"/>
    <w:rsid w:val="2EC46383"/>
    <w:rsid w:val="2EC56BE5"/>
    <w:rsid w:val="2EC658E5"/>
    <w:rsid w:val="2EC77991"/>
    <w:rsid w:val="2ECE7596"/>
    <w:rsid w:val="2ECF2A91"/>
    <w:rsid w:val="2ED316F4"/>
    <w:rsid w:val="2ED917DE"/>
    <w:rsid w:val="2EDF31F8"/>
    <w:rsid w:val="2EEB7843"/>
    <w:rsid w:val="2EF00893"/>
    <w:rsid w:val="2EF3442E"/>
    <w:rsid w:val="2EF65105"/>
    <w:rsid w:val="2EFB4F05"/>
    <w:rsid w:val="2EFF3E52"/>
    <w:rsid w:val="2F0465CC"/>
    <w:rsid w:val="2F072879"/>
    <w:rsid w:val="2F08433B"/>
    <w:rsid w:val="2F0907FB"/>
    <w:rsid w:val="2F0A3A24"/>
    <w:rsid w:val="2F0B5278"/>
    <w:rsid w:val="2F136646"/>
    <w:rsid w:val="2F2269A3"/>
    <w:rsid w:val="2F2828F2"/>
    <w:rsid w:val="2F2B399A"/>
    <w:rsid w:val="2F363704"/>
    <w:rsid w:val="2F3960B7"/>
    <w:rsid w:val="2F3D037D"/>
    <w:rsid w:val="2F4C2EE3"/>
    <w:rsid w:val="2F4C6D53"/>
    <w:rsid w:val="2F561C30"/>
    <w:rsid w:val="2F585AF3"/>
    <w:rsid w:val="2F596049"/>
    <w:rsid w:val="2F61762B"/>
    <w:rsid w:val="2F704AF3"/>
    <w:rsid w:val="2F843A53"/>
    <w:rsid w:val="2F9429CB"/>
    <w:rsid w:val="2F952329"/>
    <w:rsid w:val="2F962068"/>
    <w:rsid w:val="2F9652B7"/>
    <w:rsid w:val="2F965A84"/>
    <w:rsid w:val="2F9B5A25"/>
    <w:rsid w:val="2F9C03F4"/>
    <w:rsid w:val="2F9E5E02"/>
    <w:rsid w:val="2FA15944"/>
    <w:rsid w:val="2FA409F4"/>
    <w:rsid w:val="2FA92ACB"/>
    <w:rsid w:val="2FB62C7A"/>
    <w:rsid w:val="2FBC4FC2"/>
    <w:rsid w:val="2FBE65BC"/>
    <w:rsid w:val="2FC02334"/>
    <w:rsid w:val="2FC12E0D"/>
    <w:rsid w:val="2FC61E19"/>
    <w:rsid w:val="2FCF2577"/>
    <w:rsid w:val="2FD3657A"/>
    <w:rsid w:val="2FD54996"/>
    <w:rsid w:val="2FD97BCD"/>
    <w:rsid w:val="2FDD2E8E"/>
    <w:rsid w:val="2FDE3125"/>
    <w:rsid w:val="2FE31C96"/>
    <w:rsid w:val="2FE87D4B"/>
    <w:rsid w:val="2FE97517"/>
    <w:rsid w:val="2FED2320"/>
    <w:rsid w:val="2FF3094F"/>
    <w:rsid w:val="2FFD0C0E"/>
    <w:rsid w:val="30002D07"/>
    <w:rsid w:val="300711A8"/>
    <w:rsid w:val="300C3B90"/>
    <w:rsid w:val="300D20E3"/>
    <w:rsid w:val="300D36B9"/>
    <w:rsid w:val="300F0B89"/>
    <w:rsid w:val="301168CE"/>
    <w:rsid w:val="30154E19"/>
    <w:rsid w:val="30171924"/>
    <w:rsid w:val="30173190"/>
    <w:rsid w:val="301B2328"/>
    <w:rsid w:val="30225849"/>
    <w:rsid w:val="3025488D"/>
    <w:rsid w:val="302C277F"/>
    <w:rsid w:val="302D3FE9"/>
    <w:rsid w:val="302E2353"/>
    <w:rsid w:val="303221E0"/>
    <w:rsid w:val="30322E5C"/>
    <w:rsid w:val="303643A5"/>
    <w:rsid w:val="3039340C"/>
    <w:rsid w:val="30396D27"/>
    <w:rsid w:val="3042124A"/>
    <w:rsid w:val="3044003E"/>
    <w:rsid w:val="30453B9D"/>
    <w:rsid w:val="30505F70"/>
    <w:rsid w:val="30552148"/>
    <w:rsid w:val="305703F6"/>
    <w:rsid w:val="305A4534"/>
    <w:rsid w:val="306212C1"/>
    <w:rsid w:val="30645CFC"/>
    <w:rsid w:val="30665E9F"/>
    <w:rsid w:val="306A6432"/>
    <w:rsid w:val="306C7E5F"/>
    <w:rsid w:val="306C7EFE"/>
    <w:rsid w:val="30794DF1"/>
    <w:rsid w:val="308321E0"/>
    <w:rsid w:val="3095731D"/>
    <w:rsid w:val="30A57B99"/>
    <w:rsid w:val="30B20E4E"/>
    <w:rsid w:val="30B97331"/>
    <w:rsid w:val="30BA4AA5"/>
    <w:rsid w:val="30BA548C"/>
    <w:rsid w:val="30BA6D63"/>
    <w:rsid w:val="30C23A3B"/>
    <w:rsid w:val="30C55B0E"/>
    <w:rsid w:val="30CA3F94"/>
    <w:rsid w:val="30CB546A"/>
    <w:rsid w:val="30CD5539"/>
    <w:rsid w:val="30D4271D"/>
    <w:rsid w:val="30E107B4"/>
    <w:rsid w:val="30EF0ED6"/>
    <w:rsid w:val="30F13FAA"/>
    <w:rsid w:val="30F5319F"/>
    <w:rsid w:val="30F60F82"/>
    <w:rsid w:val="30FE173C"/>
    <w:rsid w:val="3100726D"/>
    <w:rsid w:val="3104150C"/>
    <w:rsid w:val="31060D94"/>
    <w:rsid w:val="310662F5"/>
    <w:rsid w:val="310968DA"/>
    <w:rsid w:val="310A511C"/>
    <w:rsid w:val="310C35ED"/>
    <w:rsid w:val="310D031B"/>
    <w:rsid w:val="31186793"/>
    <w:rsid w:val="311D1232"/>
    <w:rsid w:val="311D5693"/>
    <w:rsid w:val="31210AA0"/>
    <w:rsid w:val="31271F3F"/>
    <w:rsid w:val="312B4918"/>
    <w:rsid w:val="312D5515"/>
    <w:rsid w:val="31311CFE"/>
    <w:rsid w:val="313171F6"/>
    <w:rsid w:val="31327262"/>
    <w:rsid w:val="31337DEB"/>
    <w:rsid w:val="313B3958"/>
    <w:rsid w:val="3144316E"/>
    <w:rsid w:val="314874EB"/>
    <w:rsid w:val="31496258"/>
    <w:rsid w:val="314B0B14"/>
    <w:rsid w:val="31501496"/>
    <w:rsid w:val="3157104F"/>
    <w:rsid w:val="31592B0A"/>
    <w:rsid w:val="31594B69"/>
    <w:rsid w:val="315B0515"/>
    <w:rsid w:val="31607AF5"/>
    <w:rsid w:val="316311C9"/>
    <w:rsid w:val="31643BE3"/>
    <w:rsid w:val="316B6CEE"/>
    <w:rsid w:val="316F48E7"/>
    <w:rsid w:val="31794E91"/>
    <w:rsid w:val="317A5ABA"/>
    <w:rsid w:val="318022DD"/>
    <w:rsid w:val="31833619"/>
    <w:rsid w:val="31843C8B"/>
    <w:rsid w:val="31871366"/>
    <w:rsid w:val="3188024D"/>
    <w:rsid w:val="31881438"/>
    <w:rsid w:val="318C3787"/>
    <w:rsid w:val="3191218A"/>
    <w:rsid w:val="31913A69"/>
    <w:rsid w:val="31922F44"/>
    <w:rsid w:val="319B3CAA"/>
    <w:rsid w:val="31A628A5"/>
    <w:rsid w:val="31AD27E4"/>
    <w:rsid w:val="31B22A5A"/>
    <w:rsid w:val="31B36D87"/>
    <w:rsid w:val="31B45EC9"/>
    <w:rsid w:val="31BF0A20"/>
    <w:rsid w:val="31CF1AE1"/>
    <w:rsid w:val="31D774B8"/>
    <w:rsid w:val="31D85559"/>
    <w:rsid w:val="31DA7CEA"/>
    <w:rsid w:val="31DB1CD9"/>
    <w:rsid w:val="31ED3136"/>
    <w:rsid w:val="31EF7302"/>
    <w:rsid w:val="31F438FC"/>
    <w:rsid w:val="31FD406A"/>
    <w:rsid w:val="31FE2FC8"/>
    <w:rsid w:val="32053178"/>
    <w:rsid w:val="32066C5B"/>
    <w:rsid w:val="32097DF1"/>
    <w:rsid w:val="320F1351"/>
    <w:rsid w:val="321330EB"/>
    <w:rsid w:val="32166511"/>
    <w:rsid w:val="321D2039"/>
    <w:rsid w:val="32222323"/>
    <w:rsid w:val="32237D8D"/>
    <w:rsid w:val="3224393E"/>
    <w:rsid w:val="32246E4C"/>
    <w:rsid w:val="322D595C"/>
    <w:rsid w:val="323709AC"/>
    <w:rsid w:val="3239017C"/>
    <w:rsid w:val="323B2146"/>
    <w:rsid w:val="323B3EF4"/>
    <w:rsid w:val="323D7C6C"/>
    <w:rsid w:val="323E4C46"/>
    <w:rsid w:val="32416ECE"/>
    <w:rsid w:val="324276A3"/>
    <w:rsid w:val="32440A8B"/>
    <w:rsid w:val="324639D0"/>
    <w:rsid w:val="324928AC"/>
    <w:rsid w:val="32544FB6"/>
    <w:rsid w:val="325558B4"/>
    <w:rsid w:val="325719E8"/>
    <w:rsid w:val="326170B4"/>
    <w:rsid w:val="32642218"/>
    <w:rsid w:val="326429D0"/>
    <w:rsid w:val="3264531C"/>
    <w:rsid w:val="32665466"/>
    <w:rsid w:val="326820F3"/>
    <w:rsid w:val="32692A31"/>
    <w:rsid w:val="32697F0A"/>
    <w:rsid w:val="326B38EB"/>
    <w:rsid w:val="327C3B58"/>
    <w:rsid w:val="32885317"/>
    <w:rsid w:val="32892A4B"/>
    <w:rsid w:val="32896420"/>
    <w:rsid w:val="328E04C8"/>
    <w:rsid w:val="32980D20"/>
    <w:rsid w:val="329918B1"/>
    <w:rsid w:val="329A38A8"/>
    <w:rsid w:val="32A2433E"/>
    <w:rsid w:val="32A91748"/>
    <w:rsid w:val="32AD2087"/>
    <w:rsid w:val="32B01DCF"/>
    <w:rsid w:val="32B53ABB"/>
    <w:rsid w:val="32B736BD"/>
    <w:rsid w:val="32B865A2"/>
    <w:rsid w:val="32BC1C32"/>
    <w:rsid w:val="32BF743F"/>
    <w:rsid w:val="32C40CE5"/>
    <w:rsid w:val="32C62D0D"/>
    <w:rsid w:val="32CC0FF0"/>
    <w:rsid w:val="32CE6A40"/>
    <w:rsid w:val="32D03BB7"/>
    <w:rsid w:val="32D63C1D"/>
    <w:rsid w:val="32E5329D"/>
    <w:rsid w:val="32EF6F5B"/>
    <w:rsid w:val="32F35ED4"/>
    <w:rsid w:val="32F90C87"/>
    <w:rsid w:val="32F976CA"/>
    <w:rsid w:val="32FC1D3D"/>
    <w:rsid w:val="32FE6CC1"/>
    <w:rsid w:val="32FF3C80"/>
    <w:rsid w:val="33012B98"/>
    <w:rsid w:val="33092244"/>
    <w:rsid w:val="330C791D"/>
    <w:rsid w:val="330D2A67"/>
    <w:rsid w:val="330E2AC2"/>
    <w:rsid w:val="330E2F53"/>
    <w:rsid w:val="330E4A42"/>
    <w:rsid w:val="331518CB"/>
    <w:rsid w:val="331838AD"/>
    <w:rsid w:val="33186345"/>
    <w:rsid w:val="331B428B"/>
    <w:rsid w:val="331F2416"/>
    <w:rsid w:val="332705B3"/>
    <w:rsid w:val="33291ECF"/>
    <w:rsid w:val="332C0C59"/>
    <w:rsid w:val="332F2325"/>
    <w:rsid w:val="332F78E4"/>
    <w:rsid w:val="33302505"/>
    <w:rsid w:val="33435FD9"/>
    <w:rsid w:val="3345063A"/>
    <w:rsid w:val="334D2CFC"/>
    <w:rsid w:val="334E7C57"/>
    <w:rsid w:val="33501C21"/>
    <w:rsid w:val="335121B9"/>
    <w:rsid w:val="335562D0"/>
    <w:rsid w:val="335D450D"/>
    <w:rsid w:val="336C307D"/>
    <w:rsid w:val="337070BE"/>
    <w:rsid w:val="33750FD2"/>
    <w:rsid w:val="33780162"/>
    <w:rsid w:val="337829B0"/>
    <w:rsid w:val="337A0742"/>
    <w:rsid w:val="337B77A8"/>
    <w:rsid w:val="337C0BAD"/>
    <w:rsid w:val="3382532E"/>
    <w:rsid w:val="33835519"/>
    <w:rsid w:val="338E22AC"/>
    <w:rsid w:val="33907D95"/>
    <w:rsid w:val="33912A7A"/>
    <w:rsid w:val="33923816"/>
    <w:rsid w:val="33960E31"/>
    <w:rsid w:val="33974AEA"/>
    <w:rsid w:val="339766EC"/>
    <w:rsid w:val="33983939"/>
    <w:rsid w:val="339B00AC"/>
    <w:rsid w:val="33A13F7B"/>
    <w:rsid w:val="33A60EDE"/>
    <w:rsid w:val="33A74D3B"/>
    <w:rsid w:val="33A8589B"/>
    <w:rsid w:val="33AD7074"/>
    <w:rsid w:val="33B43F5E"/>
    <w:rsid w:val="33B95F01"/>
    <w:rsid w:val="33BD0F57"/>
    <w:rsid w:val="33C07D0A"/>
    <w:rsid w:val="33C148CD"/>
    <w:rsid w:val="33C5471C"/>
    <w:rsid w:val="33CB0B80"/>
    <w:rsid w:val="33D71AE1"/>
    <w:rsid w:val="33E170B6"/>
    <w:rsid w:val="33E70001"/>
    <w:rsid w:val="33E93BB1"/>
    <w:rsid w:val="33EB36F8"/>
    <w:rsid w:val="33F57FBD"/>
    <w:rsid w:val="33F75282"/>
    <w:rsid w:val="33FB6405"/>
    <w:rsid w:val="3402383D"/>
    <w:rsid w:val="340549D0"/>
    <w:rsid w:val="34065FE2"/>
    <w:rsid w:val="340A53E6"/>
    <w:rsid w:val="340F05AC"/>
    <w:rsid w:val="34110143"/>
    <w:rsid w:val="341449FD"/>
    <w:rsid w:val="341931A8"/>
    <w:rsid w:val="341942F8"/>
    <w:rsid w:val="341D5FA7"/>
    <w:rsid w:val="342235BE"/>
    <w:rsid w:val="342509B8"/>
    <w:rsid w:val="34265666"/>
    <w:rsid w:val="342906A4"/>
    <w:rsid w:val="342D57DA"/>
    <w:rsid w:val="342F4A90"/>
    <w:rsid w:val="344026A9"/>
    <w:rsid w:val="3448506B"/>
    <w:rsid w:val="34505149"/>
    <w:rsid w:val="34517714"/>
    <w:rsid w:val="345319C9"/>
    <w:rsid w:val="345A50D5"/>
    <w:rsid w:val="345B795C"/>
    <w:rsid w:val="345C0152"/>
    <w:rsid w:val="34655FDE"/>
    <w:rsid w:val="3468005A"/>
    <w:rsid w:val="346A0AC1"/>
    <w:rsid w:val="346E1392"/>
    <w:rsid w:val="346F2A79"/>
    <w:rsid w:val="3471648D"/>
    <w:rsid w:val="34733808"/>
    <w:rsid w:val="347362F2"/>
    <w:rsid w:val="34772FC6"/>
    <w:rsid w:val="3479321B"/>
    <w:rsid w:val="347E456C"/>
    <w:rsid w:val="347F5B57"/>
    <w:rsid w:val="34891274"/>
    <w:rsid w:val="348A1DB8"/>
    <w:rsid w:val="348C0A37"/>
    <w:rsid w:val="348D78C7"/>
    <w:rsid w:val="348E7E8F"/>
    <w:rsid w:val="348F0128"/>
    <w:rsid w:val="34934B68"/>
    <w:rsid w:val="34980D1E"/>
    <w:rsid w:val="349A26BD"/>
    <w:rsid w:val="349C67C9"/>
    <w:rsid w:val="349D0883"/>
    <w:rsid w:val="349E4B2E"/>
    <w:rsid w:val="34A03C19"/>
    <w:rsid w:val="34A13EE1"/>
    <w:rsid w:val="34A22A5F"/>
    <w:rsid w:val="34A628F1"/>
    <w:rsid w:val="34A838C3"/>
    <w:rsid w:val="34AE4A8D"/>
    <w:rsid w:val="34AF5036"/>
    <w:rsid w:val="34B033E7"/>
    <w:rsid w:val="34B334C0"/>
    <w:rsid w:val="34BB4A51"/>
    <w:rsid w:val="34BD350C"/>
    <w:rsid w:val="34BF19E9"/>
    <w:rsid w:val="34BF74EA"/>
    <w:rsid w:val="34C160F5"/>
    <w:rsid w:val="34C33AD8"/>
    <w:rsid w:val="34C77323"/>
    <w:rsid w:val="34CA71B6"/>
    <w:rsid w:val="34CE4260"/>
    <w:rsid w:val="34CF122C"/>
    <w:rsid w:val="34D56A72"/>
    <w:rsid w:val="34D766B0"/>
    <w:rsid w:val="34DB2B4D"/>
    <w:rsid w:val="34E16316"/>
    <w:rsid w:val="34E467C1"/>
    <w:rsid w:val="34E7342C"/>
    <w:rsid w:val="34E75F12"/>
    <w:rsid w:val="34F32500"/>
    <w:rsid w:val="34F432BA"/>
    <w:rsid w:val="34FA718E"/>
    <w:rsid w:val="350245E8"/>
    <w:rsid w:val="350A5CF4"/>
    <w:rsid w:val="35195020"/>
    <w:rsid w:val="351F2F82"/>
    <w:rsid w:val="35246742"/>
    <w:rsid w:val="35270120"/>
    <w:rsid w:val="35275089"/>
    <w:rsid w:val="352B36E0"/>
    <w:rsid w:val="352D62A3"/>
    <w:rsid w:val="352E7C67"/>
    <w:rsid w:val="3535293E"/>
    <w:rsid w:val="3536502B"/>
    <w:rsid w:val="353665BD"/>
    <w:rsid w:val="35372467"/>
    <w:rsid w:val="353A0493"/>
    <w:rsid w:val="353E58AC"/>
    <w:rsid w:val="3540294F"/>
    <w:rsid w:val="354112CF"/>
    <w:rsid w:val="35487054"/>
    <w:rsid w:val="354912F6"/>
    <w:rsid w:val="354B2DE4"/>
    <w:rsid w:val="354F4ECD"/>
    <w:rsid w:val="35543E8E"/>
    <w:rsid w:val="35555A63"/>
    <w:rsid w:val="355A6497"/>
    <w:rsid w:val="355B65B2"/>
    <w:rsid w:val="355D4F81"/>
    <w:rsid w:val="355E50CF"/>
    <w:rsid w:val="355E5E3D"/>
    <w:rsid w:val="35643762"/>
    <w:rsid w:val="356814A4"/>
    <w:rsid w:val="356F2C96"/>
    <w:rsid w:val="35705AE4"/>
    <w:rsid w:val="357B2101"/>
    <w:rsid w:val="357E004F"/>
    <w:rsid w:val="35824905"/>
    <w:rsid w:val="35843F72"/>
    <w:rsid w:val="35844FB9"/>
    <w:rsid w:val="35864933"/>
    <w:rsid w:val="35881566"/>
    <w:rsid w:val="35895A1F"/>
    <w:rsid w:val="358D2D1D"/>
    <w:rsid w:val="35922D88"/>
    <w:rsid w:val="35944047"/>
    <w:rsid w:val="35970273"/>
    <w:rsid w:val="359F29EC"/>
    <w:rsid w:val="35A930DB"/>
    <w:rsid w:val="35AE2C2F"/>
    <w:rsid w:val="35B23542"/>
    <w:rsid w:val="35B77D36"/>
    <w:rsid w:val="35BD2A9C"/>
    <w:rsid w:val="35C213AC"/>
    <w:rsid w:val="35C74E47"/>
    <w:rsid w:val="35C95861"/>
    <w:rsid w:val="35D44833"/>
    <w:rsid w:val="35D8240C"/>
    <w:rsid w:val="35D84366"/>
    <w:rsid w:val="35D86E88"/>
    <w:rsid w:val="35D945B0"/>
    <w:rsid w:val="35DB7B88"/>
    <w:rsid w:val="35DD3E79"/>
    <w:rsid w:val="35E24DF5"/>
    <w:rsid w:val="35F920FC"/>
    <w:rsid w:val="35FB6F9A"/>
    <w:rsid w:val="35FC0320"/>
    <w:rsid w:val="35FC78A0"/>
    <w:rsid w:val="35FD2590"/>
    <w:rsid w:val="35FF463C"/>
    <w:rsid w:val="36061C54"/>
    <w:rsid w:val="360C7554"/>
    <w:rsid w:val="360D4DD7"/>
    <w:rsid w:val="360F2DBF"/>
    <w:rsid w:val="361124A4"/>
    <w:rsid w:val="36132896"/>
    <w:rsid w:val="36132E0B"/>
    <w:rsid w:val="361B02C4"/>
    <w:rsid w:val="36251E52"/>
    <w:rsid w:val="36303FB9"/>
    <w:rsid w:val="363407F7"/>
    <w:rsid w:val="363842BA"/>
    <w:rsid w:val="3638445C"/>
    <w:rsid w:val="363B5B34"/>
    <w:rsid w:val="363E0457"/>
    <w:rsid w:val="364D39D1"/>
    <w:rsid w:val="364F6F22"/>
    <w:rsid w:val="365437D6"/>
    <w:rsid w:val="365612E8"/>
    <w:rsid w:val="3658395C"/>
    <w:rsid w:val="36593DEE"/>
    <w:rsid w:val="366513C8"/>
    <w:rsid w:val="36692C29"/>
    <w:rsid w:val="367805D9"/>
    <w:rsid w:val="3678741B"/>
    <w:rsid w:val="367B598F"/>
    <w:rsid w:val="36813FAE"/>
    <w:rsid w:val="36835443"/>
    <w:rsid w:val="3686608C"/>
    <w:rsid w:val="368D3FB1"/>
    <w:rsid w:val="368F4ABB"/>
    <w:rsid w:val="36914723"/>
    <w:rsid w:val="36931AD1"/>
    <w:rsid w:val="369760BA"/>
    <w:rsid w:val="369769C2"/>
    <w:rsid w:val="369E0EF6"/>
    <w:rsid w:val="369E5E59"/>
    <w:rsid w:val="36A00055"/>
    <w:rsid w:val="36A24542"/>
    <w:rsid w:val="36A71B58"/>
    <w:rsid w:val="36AD62EF"/>
    <w:rsid w:val="36B77ECB"/>
    <w:rsid w:val="36B814E3"/>
    <w:rsid w:val="36B81FB7"/>
    <w:rsid w:val="36BB2D6A"/>
    <w:rsid w:val="36C40518"/>
    <w:rsid w:val="36CA1F25"/>
    <w:rsid w:val="36CC5A63"/>
    <w:rsid w:val="36D00424"/>
    <w:rsid w:val="36D20CF6"/>
    <w:rsid w:val="36D72B72"/>
    <w:rsid w:val="36DD2BAC"/>
    <w:rsid w:val="36DE0951"/>
    <w:rsid w:val="36E21D02"/>
    <w:rsid w:val="36E56B24"/>
    <w:rsid w:val="36E67553"/>
    <w:rsid w:val="36F12692"/>
    <w:rsid w:val="36F20F6E"/>
    <w:rsid w:val="36F210B1"/>
    <w:rsid w:val="36F7353D"/>
    <w:rsid w:val="37007AC7"/>
    <w:rsid w:val="3702370D"/>
    <w:rsid w:val="37057E3C"/>
    <w:rsid w:val="37074341"/>
    <w:rsid w:val="37081B1F"/>
    <w:rsid w:val="37147CD9"/>
    <w:rsid w:val="37166CDE"/>
    <w:rsid w:val="371922ED"/>
    <w:rsid w:val="371A7708"/>
    <w:rsid w:val="371D469E"/>
    <w:rsid w:val="371F6EDC"/>
    <w:rsid w:val="372A09FA"/>
    <w:rsid w:val="372D1D6A"/>
    <w:rsid w:val="37330115"/>
    <w:rsid w:val="37337890"/>
    <w:rsid w:val="373529C0"/>
    <w:rsid w:val="37397682"/>
    <w:rsid w:val="373C7B02"/>
    <w:rsid w:val="373D4F16"/>
    <w:rsid w:val="37487E21"/>
    <w:rsid w:val="37525ACD"/>
    <w:rsid w:val="37527418"/>
    <w:rsid w:val="375A55D3"/>
    <w:rsid w:val="375A58F4"/>
    <w:rsid w:val="375D490D"/>
    <w:rsid w:val="375E5B2F"/>
    <w:rsid w:val="375F2D0C"/>
    <w:rsid w:val="376B4FBE"/>
    <w:rsid w:val="37721A4D"/>
    <w:rsid w:val="37734B4D"/>
    <w:rsid w:val="37757EA8"/>
    <w:rsid w:val="377D7730"/>
    <w:rsid w:val="37807A1C"/>
    <w:rsid w:val="37820CB3"/>
    <w:rsid w:val="3783476E"/>
    <w:rsid w:val="37885E60"/>
    <w:rsid w:val="378A0827"/>
    <w:rsid w:val="378B3806"/>
    <w:rsid w:val="378B78F4"/>
    <w:rsid w:val="378E3BE4"/>
    <w:rsid w:val="3792490D"/>
    <w:rsid w:val="379837CA"/>
    <w:rsid w:val="37984826"/>
    <w:rsid w:val="37994C24"/>
    <w:rsid w:val="379E1D37"/>
    <w:rsid w:val="37A4695E"/>
    <w:rsid w:val="37A56331"/>
    <w:rsid w:val="37A91E09"/>
    <w:rsid w:val="37AA79A3"/>
    <w:rsid w:val="37AE30E0"/>
    <w:rsid w:val="37B253AC"/>
    <w:rsid w:val="37B31795"/>
    <w:rsid w:val="37B73B33"/>
    <w:rsid w:val="37B874AF"/>
    <w:rsid w:val="37C360D7"/>
    <w:rsid w:val="37C443DA"/>
    <w:rsid w:val="37C50776"/>
    <w:rsid w:val="37C87091"/>
    <w:rsid w:val="37D42B5B"/>
    <w:rsid w:val="37DD65A4"/>
    <w:rsid w:val="37DE28E6"/>
    <w:rsid w:val="37E73565"/>
    <w:rsid w:val="37E8004A"/>
    <w:rsid w:val="37F048A0"/>
    <w:rsid w:val="37F27E10"/>
    <w:rsid w:val="37F45271"/>
    <w:rsid w:val="37F637BC"/>
    <w:rsid w:val="3800555A"/>
    <w:rsid w:val="3801798E"/>
    <w:rsid w:val="3809306D"/>
    <w:rsid w:val="380C5015"/>
    <w:rsid w:val="3814321D"/>
    <w:rsid w:val="381566B5"/>
    <w:rsid w:val="381D1FCA"/>
    <w:rsid w:val="3826753F"/>
    <w:rsid w:val="38267DA4"/>
    <w:rsid w:val="3827518E"/>
    <w:rsid w:val="382800C6"/>
    <w:rsid w:val="382837A8"/>
    <w:rsid w:val="382932C1"/>
    <w:rsid w:val="382A51FA"/>
    <w:rsid w:val="382D2A96"/>
    <w:rsid w:val="382F4B08"/>
    <w:rsid w:val="38312A30"/>
    <w:rsid w:val="383210E4"/>
    <w:rsid w:val="383A36AD"/>
    <w:rsid w:val="3855010B"/>
    <w:rsid w:val="385A50D1"/>
    <w:rsid w:val="38685430"/>
    <w:rsid w:val="386B113A"/>
    <w:rsid w:val="386F52F6"/>
    <w:rsid w:val="387A0F64"/>
    <w:rsid w:val="387C7014"/>
    <w:rsid w:val="387F4B65"/>
    <w:rsid w:val="38894205"/>
    <w:rsid w:val="388A1731"/>
    <w:rsid w:val="388C418E"/>
    <w:rsid w:val="389159D8"/>
    <w:rsid w:val="3894610C"/>
    <w:rsid w:val="38951FE9"/>
    <w:rsid w:val="389B418C"/>
    <w:rsid w:val="389C7387"/>
    <w:rsid w:val="389F5A0E"/>
    <w:rsid w:val="38A00A0E"/>
    <w:rsid w:val="38A23923"/>
    <w:rsid w:val="38B10FD3"/>
    <w:rsid w:val="38B83890"/>
    <w:rsid w:val="38BB261E"/>
    <w:rsid w:val="38BC5EB1"/>
    <w:rsid w:val="38BD5663"/>
    <w:rsid w:val="38BE762D"/>
    <w:rsid w:val="38D342E9"/>
    <w:rsid w:val="38DC6990"/>
    <w:rsid w:val="38DC7DB9"/>
    <w:rsid w:val="38DD5656"/>
    <w:rsid w:val="38DD68CB"/>
    <w:rsid w:val="38E05C36"/>
    <w:rsid w:val="38E12A24"/>
    <w:rsid w:val="38E12E65"/>
    <w:rsid w:val="38E17D08"/>
    <w:rsid w:val="38E7522B"/>
    <w:rsid w:val="38EA7DB7"/>
    <w:rsid w:val="38ED1063"/>
    <w:rsid w:val="38EE1EB9"/>
    <w:rsid w:val="38F172EC"/>
    <w:rsid w:val="38F26B3A"/>
    <w:rsid w:val="38F407F9"/>
    <w:rsid w:val="38F95DF6"/>
    <w:rsid w:val="38FD00D6"/>
    <w:rsid w:val="38FF6148"/>
    <w:rsid w:val="3903466D"/>
    <w:rsid w:val="390D588D"/>
    <w:rsid w:val="390E17BC"/>
    <w:rsid w:val="391060DB"/>
    <w:rsid w:val="39132FFD"/>
    <w:rsid w:val="391877C9"/>
    <w:rsid w:val="391F5244"/>
    <w:rsid w:val="3922196A"/>
    <w:rsid w:val="39225CE4"/>
    <w:rsid w:val="392635CF"/>
    <w:rsid w:val="392876F4"/>
    <w:rsid w:val="39293088"/>
    <w:rsid w:val="392A377B"/>
    <w:rsid w:val="393120C7"/>
    <w:rsid w:val="3933284B"/>
    <w:rsid w:val="39333B77"/>
    <w:rsid w:val="39352D1A"/>
    <w:rsid w:val="393B2A2C"/>
    <w:rsid w:val="393D3428"/>
    <w:rsid w:val="393E362D"/>
    <w:rsid w:val="394738B9"/>
    <w:rsid w:val="394F5526"/>
    <w:rsid w:val="395068D0"/>
    <w:rsid w:val="39510E15"/>
    <w:rsid w:val="39581DB9"/>
    <w:rsid w:val="395961F5"/>
    <w:rsid w:val="39597865"/>
    <w:rsid w:val="395E6FAD"/>
    <w:rsid w:val="395F496C"/>
    <w:rsid w:val="396252C6"/>
    <w:rsid w:val="3962620A"/>
    <w:rsid w:val="396D0C84"/>
    <w:rsid w:val="39721370"/>
    <w:rsid w:val="397E0107"/>
    <w:rsid w:val="397F27D6"/>
    <w:rsid w:val="39846181"/>
    <w:rsid w:val="39865ABE"/>
    <w:rsid w:val="398D1029"/>
    <w:rsid w:val="39900FC9"/>
    <w:rsid w:val="39902EFF"/>
    <w:rsid w:val="39903EB2"/>
    <w:rsid w:val="39980102"/>
    <w:rsid w:val="399E01FF"/>
    <w:rsid w:val="399E2214"/>
    <w:rsid w:val="39AD287B"/>
    <w:rsid w:val="39AE1A04"/>
    <w:rsid w:val="39AE31FE"/>
    <w:rsid w:val="39B7679D"/>
    <w:rsid w:val="39B8138C"/>
    <w:rsid w:val="39C550B5"/>
    <w:rsid w:val="39CE6CE4"/>
    <w:rsid w:val="39D471ED"/>
    <w:rsid w:val="39D96824"/>
    <w:rsid w:val="39DB48F9"/>
    <w:rsid w:val="39DC14C7"/>
    <w:rsid w:val="39DC32CF"/>
    <w:rsid w:val="39DC5B33"/>
    <w:rsid w:val="39DD3AE3"/>
    <w:rsid w:val="39E042AE"/>
    <w:rsid w:val="39E80634"/>
    <w:rsid w:val="39EC4138"/>
    <w:rsid w:val="39EE2FFA"/>
    <w:rsid w:val="39EF3377"/>
    <w:rsid w:val="39F07CBA"/>
    <w:rsid w:val="39F47720"/>
    <w:rsid w:val="39F63CA8"/>
    <w:rsid w:val="39FE20B1"/>
    <w:rsid w:val="3A033549"/>
    <w:rsid w:val="3A05253F"/>
    <w:rsid w:val="3A072065"/>
    <w:rsid w:val="3A0C76D7"/>
    <w:rsid w:val="3A125A31"/>
    <w:rsid w:val="3A1474BB"/>
    <w:rsid w:val="3A15557B"/>
    <w:rsid w:val="3A1B67C7"/>
    <w:rsid w:val="3A1E479F"/>
    <w:rsid w:val="3A204AEC"/>
    <w:rsid w:val="3A2200E6"/>
    <w:rsid w:val="3A230DBA"/>
    <w:rsid w:val="3A293590"/>
    <w:rsid w:val="3A2C4438"/>
    <w:rsid w:val="3A2D4580"/>
    <w:rsid w:val="3A2E064C"/>
    <w:rsid w:val="3A2F2D33"/>
    <w:rsid w:val="3A3B5D23"/>
    <w:rsid w:val="3A3E0D77"/>
    <w:rsid w:val="3A443B62"/>
    <w:rsid w:val="3A4E34CE"/>
    <w:rsid w:val="3A50253D"/>
    <w:rsid w:val="3A504D64"/>
    <w:rsid w:val="3A545C15"/>
    <w:rsid w:val="3A5610C1"/>
    <w:rsid w:val="3A592F70"/>
    <w:rsid w:val="3A5E1139"/>
    <w:rsid w:val="3A613E7B"/>
    <w:rsid w:val="3A616E99"/>
    <w:rsid w:val="3A6234A0"/>
    <w:rsid w:val="3A627DF4"/>
    <w:rsid w:val="3A6366DE"/>
    <w:rsid w:val="3A6415F3"/>
    <w:rsid w:val="3A65699F"/>
    <w:rsid w:val="3A661519"/>
    <w:rsid w:val="3A791CD8"/>
    <w:rsid w:val="3A8760CD"/>
    <w:rsid w:val="3A90460D"/>
    <w:rsid w:val="3A955A4F"/>
    <w:rsid w:val="3A9611FB"/>
    <w:rsid w:val="3A9E3272"/>
    <w:rsid w:val="3AA2508C"/>
    <w:rsid w:val="3AA5191A"/>
    <w:rsid w:val="3AA81763"/>
    <w:rsid w:val="3AB06356"/>
    <w:rsid w:val="3AB42592"/>
    <w:rsid w:val="3AB56820"/>
    <w:rsid w:val="3AB93AAC"/>
    <w:rsid w:val="3AC03556"/>
    <w:rsid w:val="3AC10794"/>
    <w:rsid w:val="3AC20A9E"/>
    <w:rsid w:val="3ACA5143"/>
    <w:rsid w:val="3ACC7E1E"/>
    <w:rsid w:val="3ACD4BD8"/>
    <w:rsid w:val="3ADC43DB"/>
    <w:rsid w:val="3ADD50BB"/>
    <w:rsid w:val="3ADD6095"/>
    <w:rsid w:val="3ADF7E76"/>
    <w:rsid w:val="3AE07043"/>
    <w:rsid w:val="3AE74C19"/>
    <w:rsid w:val="3AEA6895"/>
    <w:rsid w:val="3AEB018A"/>
    <w:rsid w:val="3AF44D39"/>
    <w:rsid w:val="3AF62FB6"/>
    <w:rsid w:val="3AF64E5C"/>
    <w:rsid w:val="3B047A2C"/>
    <w:rsid w:val="3B053544"/>
    <w:rsid w:val="3B072AE7"/>
    <w:rsid w:val="3B0A5265"/>
    <w:rsid w:val="3B0C568B"/>
    <w:rsid w:val="3B101F22"/>
    <w:rsid w:val="3B124C1B"/>
    <w:rsid w:val="3B144FE3"/>
    <w:rsid w:val="3B171700"/>
    <w:rsid w:val="3B187F0C"/>
    <w:rsid w:val="3B19498D"/>
    <w:rsid w:val="3B2220F5"/>
    <w:rsid w:val="3B225C51"/>
    <w:rsid w:val="3B2A3136"/>
    <w:rsid w:val="3B2B31E1"/>
    <w:rsid w:val="3B331C0C"/>
    <w:rsid w:val="3B4053C6"/>
    <w:rsid w:val="3B424AF9"/>
    <w:rsid w:val="3B43293D"/>
    <w:rsid w:val="3B4331D2"/>
    <w:rsid w:val="3B505ECD"/>
    <w:rsid w:val="3B5871BB"/>
    <w:rsid w:val="3B5F0C53"/>
    <w:rsid w:val="3B5F7EA1"/>
    <w:rsid w:val="3B622EBC"/>
    <w:rsid w:val="3B64407F"/>
    <w:rsid w:val="3B683572"/>
    <w:rsid w:val="3B697A40"/>
    <w:rsid w:val="3B72035F"/>
    <w:rsid w:val="3B727185"/>
    <w:rsid w:val="3B733F3E"/>
    <w:rsid w:val="3B742767"/>
    <w:rsid w:val="3B751CB9"/>
    <w:rsid w:val="3B7B6258"/>
    <w:rsid w:val="3B7C16F1"/>
    <w:rsid w:val="3B7C3AFA"/>
    <w:rsid w:val="3B7D36E1"/>
    <w:rsid w:val="3B7D732B"/>
    <w:rsid w:val="3B800BCA"/>
    <w:rsid w:val="3B8107CA"/>
    <w:rsid w:val="3B8274C7"/>
    <w:rsid w:val="3B832DA4"/>
    <w:rsid w:val="3B862684"/>
    <w:rsid w:val="3B872A81"/>
    <w:rsid w:val="3B8A52AF"/>
    <w:rsid w:val="3B8A6A1F"/>
    <w:rsid w:val="3B8E32E7"/>
    <w:rsid w:val="3B8F30BD"/>
    <w:rsid w:val="3B9A505A"/>
    <w:rsid w:val="3B9B6C01"/>
    <w:rsid w:val="3B9B6F13"/>
    <w:rsid w:val="3B9E014B"/>
    <w:rsid w:val="3B9E7E55"/>
    <w:rsid w:val="3BA35D0A"/>
    <w:rsid w:val="3BAD78CD"/>
    <w:rsid w:val="3BBA232E"/>
    <w:rsid w:val="3BC05AA5"/>
    <w:rsid w:val="3BC50500"/>
    <w:rsid w:val="3BC52A79"/>
    <w:rsid w:val="3BCD3E2E"/>
    <w:rsid w:val="3BCE402B"/>
    <w:rsid w:val="3BD818AF"/>
    <w:rsid w:val="3BDA5C2F"/>
    <w:rsid w:val="3BDB4052"/>
    <w:rsid w:val="3BDF62F2"/>
    <w:rsid w:val="3BE5760A"/>
    <w:rsid w:val="3BE64ED1"/>
    <w:rsid w:val="3BE73A1E"/>
    <w:rsid w:val="3BEB0843"/>
    <w:rsid w:val="3BF00524"/>
    <w:rsid w:val="3BF472F5"/>
    <w:rsid w:val="3BF736C7"/>
    <w:rsid w:val="3BF75B30"/>
    <w:rsid w:val="3BFE6A45"/>
    <w:rsid w:val="3C00354B"/>
    <w:rsid w:val="3C0470CC"/>
    <w:rsid w:val="3C090BBF"/>
    <w:rsid w:val="3C0D4D6C"/>
    <w:rsid w:val="3C0D7EBC"/>
    <w:rsid w:val="3C162390"/>
    <w:rsid w:val="3C1A6612"/>
    <w:rsid w:val="3C215F09"/>
    <w:rsid w:val="3C230AF8"/>
    <w:rsid w:val="3C240786"/>
    <w:rsid w:val="3C2B084A"/>
    <w:rsid w:val="3C325184"/>
    <w:rsid w:val="3C35789E"/>
    <w:rsid w:val="3C37397E"/>
    <w:rsid w:val="3C3A17EA"/>
    <w:rsid w:val="3C3A6FCB"/>
    <w:rsid w:val="3C3B3A13"/>
    <w:rsid w:val="3C3E6D60"/>
    <w:rsid w:val="3C420750"/>
    <w:rsid w:val="3C4707DB"/>
    <w:rsid w:val="3C4D4524"/>
    <w:rsid w:val="3C4D6CFE"/>
    <w:rsid w:val="3C4E7A0B"/>
    <w:rsid w:val="3C5639DE"/>
    <w:rsid w:val="3C567958"/>
    <w:rsid w:val="3C571C05"/>
    <w:rsid w:val="3C59383D"/>
    <w:rsid w:val="3C643067"/>
    <w:rsid w:val="3C64352B"/>
    <w:rsid w:val="3C645567"/>
    <w:rsid w:val="3C670F6D"/>
    <w:rsid w:val="3C672E2C"/>
    <w:rsid w:val="3C685249"/>
    <w:rsid w:val="3C6C29B4"/>
    <w:rsid w:val="3C70569E"/>
    <w:rsid w:val="3C717A0A"/>
    <w:rsid w:val="3C746980"/>
    <w:rsid w:val="3C761DD8"/>
    <w:rsid w:val="3C764FC0"/>
    <w:rsid w:val="3C7A5C98"/>
    <w:rsid w:val="3C7C3EE4"/>
    <w:rsid w:val="3C7D4D75"/>
    <w:rsid w:val="3C8D58BE"/>
    <w:rsid w:val="3C8E5FED"/>
    <w:rsid w:val="3C9E20B1"/>
    <w:rsid w:val="3CB054DF"/>
    <w:rsid w:val="3CB11375"/>
    <w:rsid w:val="3CB53A65"/>
    <w:rsid w:val="3CC102AC"/>
    <w:rsid w:val="3CC2128F"/>
    <w:rsid w:val="3CC54280"/>
    <w:rsid w:val="3CCB3262"/>
    <w:rsid w:val="3CCC00E2"/>
    <w:rsid w:val="3CD45BE5"/>
    <w:rsid w:val="3CE360F2"/>
    <w:rsid w:val="3CE8598A"/>
    <w:rsid w:val="3CEA6C43"/>
    <w:rsid w:val="3CEB69FC"/>
    <w:rsid w:val="3CEE5C15"/>
    <w:rsid w:val="3CEF661B"/>
    <w:rsid w:val="3CF019F0"/>
    <w:rsid w:val="3CF5496B"/>
    <w:rsid w:val="3D030BD1"/>
    <w:rsid w:val="3D05055C"/>
    <w:rsid w:val="3D051809"/>
    <w:rsid w:val="3D0B5330"/>
    <w:rsid w:val="3D115586"/>
    <w:rsid w:val="3D197739"/>
    <w:rsid w:val="3D200913"/>
    <w:rsid w:val="3D232155"/>
    <w:rsid w:val="3D234DD6"/>
    <w:rsid w:val="3D260F83"/>
    <w:rsid w:val="3D2739F3"/>
    <w:rsid w:val="3D2B2775"/>
    <w:rsid w:val="3D2C21BB"/>
    <w:rsid w:val="3D2D7CF4"/>
    <w:rsid w:val="3D2E2FD3"/>
    <w:rsid w:val="3D3D68D8"/>
    <w:rsid w:val="3D3F4383"/>
    <w:rsid w:val="3D43250F"/>
    <w:rsid w:val="3D4501F5"/>
    <w:rsid w:val="3D4A132B"/>
    <w:rsid w:val="3D4F61EC"/>
    <w:rsid w:val="3D500385"/>
    <w:rsid w:val="3D547F11"/>
    <w:rsid w:val="3D5A44CB"/>
    <w:rsid w:val="3D6025AF"/>
    <w:rsid w:val="3D6130D8"/>
    <w:rsid w:val="3D61581C"/>
    <w:rsid w:val="3D647CD4"/>
    <w:rsid w:val="3D770399"/>
    <w:rsid w:val="3D7B49B3"/>
    <w:rsid w:val="3D84454D"/>
    <w:rsid w:val="3D881147"/>
    <w:rsid w:val="3D8A1C1E"/>
    <w:rsid w:val="3D8C37AE"/>
    <w:rsid w:val="3D8D259B"/>
    <w:rsid w:val="3D8D2E74"/>
    <w:rsid w:val="3D940183"/>
    <w:rsid w:val="3D94569F"/>
    <w:rsid w:val="3D9A694F"/>
    <w:rsid w:val="3D9E32C0"/>
    <w:rsid w:val="3DA0290D"/>
    <w:rsid w:val="3DA07301"/>
    <w:rsid w:val="3DB328C2"/>
    <w:rsid w:val="3DBC47EF"/>
    <w:rsid w:val="3DC25603"/>
    <w:rsid w:val="3DC625AE"/>
    <w:rsid w:val="3DC96C0F"/>
    <w:rsid w:val="3DCC12F0"/>
    <w:rsid w:val="3DCF3BE2"/>
    <w:rsid w:val="3DD855FC"/>
    <w:rsid w:val="3DE34A91"/>
    <w:rsid w:val="3DE41CDC"/>
    <w:rsid w:val="3DE85142"/>
    <w:rsid w:val="3DEB52FD"/>
    <w:rsid w:val="3DED75AB"/>
    <w:rsid w:val="3DF0475A"/>
    <w:rsid w:val="3DFC06E4"/>
    <w:rsid w:val="3E016AE6"/>
    <w:rsid w:val="3E070C1F"/>
    <w:rsid w:val="3E070ED4"/>
    <w:rsid w:val="3E073B00"/>
    <w:rsid w:val="3E091CCD"/>
    <w:rsid w:val="3E0A177A"/>
    <w:rsid w:val="3E163241"/>
    <w:rsid w:val="3E187D1F"/>
    <w:rsid w:val="3E1A3A28"/>
    <w:rsid w:val="3E1C3525"/>
    <w:rsid w:val="3E1D46C2"/>
    <w:rsid w:val="3E200B4B"/>
    <w:rsid w:val="3E225DB0"/>
    <w:rsid w:val="3E287A22"/>
    <w:rsid w:val="3E296488"/>
    <w:rsid w:val="3E2C4B6C"/>
    <w:rsid w:val="3E2E7210"/>
    <w:rsid w:val="3E343644"/>
    <w:rsid w:val="3E3D069E"/>
    <w:rsid w:val="3E442382"/>
    <w:rsid w:val="3E483582"/>
    <w:rsid w:val="3E5337D0"/>
    <w:rsid w:val="3E537DE4"/>
    <w:rsid w:val="3E554154"/>
    <w:rsid w:val="3E5702CC"/>
    <w:rsid w:val="3E592038"/>
    <w:rsid w:val="3E5C7B8C"/>
    <w:rsid w:val="3E5F165E"/>
    <w:rsid w:val="3E6622F9"/>
    <w:rsid w:val="3E6A28BE"/>
    <w:rsid w:val="3E742C68"/>
    <w:rsid w:val="3E80785E"/>
    <w:rsid w:val="3E8310FD"/>
    <w:rsid w:val="3E904009"/>
    <w:rsid w:val="3E9365FA"/>
    <w:rsid w:val="3E976E68"/>
    <w:rsid w:val="3E996659"/>
    <w:rsid w:val="3E9A26F6"/>
    <w:rsid w:val="3E9E1FC0"/>
    <w:rsid w:val="3EA300A7"/>
    <w:rsid w:val="3EA83741"/>
    <w:rsid w:val="3EA90A54"/>
    <w:rsid w:val="3EAB5E05"/>
    <w:rsid w:val="3EAC111D"/>
    <w:rsid w:val="3EB0358F"/>
    <w:rsid w:val="3EB32F2C"/>
    <w:rsid w:val="3EB43064"/>
    <w:rsid w:val="3EB5605B"/>
    <w:rsid w:val="3EBA5D59"/>
    <w:rsid w:val="3EC3043C"/>
    <w:rsid w:val="3EC51154"/>
    <w:rsid w:val="3EC57B21"/>
    <w:rsid w:val="3EC62AD5"/>
    <w:rsid w:val="3EC8679C"/>
    <w:rsid w:val="3ECD790D"/>
    <w:rsid w:val="3ECD7A72"/>
    <w:rsid w:val="3ED84198"/>
    <w:rsid w:val="3EDB15AB"/>
    <w:rsid w:val="3EE5288B"/>
    <w:rsid w:val="3EE6303A"/>
    <w:rsid w:val="3EE80F60"/>
    <w:rsid w:val="3EEB42D6"/>
    <w:rsid w:val="3EEB494F"/>
    <w:rsid w:val="3EEB540F"/>
    <w:rsid w:val="3EEC29DE"/>
    <w:rsid w:val="3EF5427F"/>
    <w:rsid w:val="3EFB3143"/>
    <w:rsid w:val="3EFE4C27"/>
    <w:rsid w:val="3F027DD0"/>
    <w:rsid w:val="3F030C21"/>
    <w:rsid w:val="3F0A35CC"/>
    <w:rsid w:val="3F12580F"/>
    <w:rsid w:val="3F15140E"/>
    <w:rsid w:val="3F165ACD"/>
    <w:rsid w:val="3F19736B"/>
    <w:rsid w:val="3F1F6B0C"/>
    <w:rsid w:val="3F220C2F"/>
    <w:rsid w:val="3F232D0D"/>
    <w:rsid w:val="3F23633D"/>
    <w:rsid w:val="3F2640AD"/>
    <w:rsid w:val="3F296ED1"/>
    <w:rsid w:val="3F2E1337"/>
    <w:rsid w:val="3F2E2497"/>
    <w:rsid w:val="3F31711E"/>
    <w:rsid w:val="3F3303B1"/>
    <w:rsid w:val="3F42384C"/>
    <w:rsid w:val="3F4A339D"/>
    <w:rsid w:val="3F4B7B29"/>
    <w:rsid w:val="3F523766"/>
    <w:rsid w:val="3F5366FC"/>
    <w:rsid w:val="3F5860E5"/>
    <w:rsid w:val="3F594519"/>
    <w:rsid w:val="3F6249A7"/>
    <w:rsid w:val="3F66563F"/>
    <w:rsid w:val="3F6E7773"/>
    <w:rsid w:val="3F72541E"/>
    <w:rsid w:val="3F8050A6"/>
    <w:rsid w:val="3F84112B"/>
    <w:rsid w:val="3F877722"/>
    <w:rsid w:val="3F8D00F3"/>
    <w:rsid w:val="3F9005F5"/>
    <w:rsid w:val="3F920484"/>
    <w:rsid w:val="3F9407E7"/>
    <w:rsid w:val="3F9C5DAF"/>
    <w:rsid w:val="3F9D2F58"/>
    <w:rsid w:val="3F9F1936"/>
    <w:rsid w:val="3FA341B1"/>
    <w:rsid w:val="3FAA6BE5"/>
    <w:rsid w:val="3FB56B0A"/>
    <w:rsid w:val="3FBA0B4E"/>
    <w:rsid w:val="3FBF2FE8"/>
    <w:rsid w:val="3FC0568B"/>
    <w:rsid w:val="3FC1760F"/>
    <w:rsid w:val="3FD5287D"/>
    <w:rsid w:val="3FD651D9"/>
    <w:rsid w:val="3FDC778A"/>
    <w:rsid w:val="3FDE02D2"/>
    <w:rsid w:val="3FE47979"/>
    <w:rsid w:val="3FE53B71"/>
    <w:rsid w:val="3FEE66FB"/>
    <w:rsid w:val="3FF15BDF"/>
    <w:rsid w:val="3FF52910"/>
    <w:rsid w:val="3FF56105"/>
    <w:rsid w:val="3FF57DD8"/>
    <w:rsid w:val="3FF83425"/>
    <w:rsid w:val="3FFA159D"/>
    <w:rsid w:val="4002562A"/>
    <w:rsid w:val="400302B2"/>
    <w:rsid w:val="40047F76"/>
    <w:rsid w:val="40070A53"/>
    <w:rsid w:val="400D69C0"/>
    <w:rsid w:val="401B6D82"/>
    <w:rsid w:val="401D74D9"/>
    <w:rsid w:val="401E1F88"/>
    <w:rsid w:val="40266EE6"/>
    <w:rsid w:val="402A20BC"/>
    <w:rsid w:val="402D166A"/>
    <w:rsid w:val="40337620"/>
    <w:rsid w:val="40366FB2"/>
    <w:rsid w:val="403A57EB"/>
    <w:rsid w:val="40417C97"/>
    <w:rsid w:val="40457E6C"/>
    <w:rsid w:val="40532C8A"/>
    <w:rsid w:val="40580367"/>
    <w:rsid w:val="405B0955"/>
    <w:rsid w:val="405C7E57"/>
    <w:rsid w:val="4061546E"/>
    <w:rsid w:val="40624D42"/>
    <w:rsid w:val="40653402"/>
    <w:rsid w:val="40654256"/>
    <w:rsid w:val="406D3801"/>
    <w:rsid w:val="406E2D1C"/>
    <w:rsid w:val="40721429"/>
    <w:rsid w:val="4072647C"/>
    <w:rsid w:val="407740C4"/>
    <w:rsid w:val="4077788C"/>
    <w:rsid w:val="407A1956"/>
    <w:rsid w:val="407C3AE5"/>
    <w:rsid w:val="407D1453"/>
    <w:rsid w:val="407E0125"/>
    <w:rsid w:val="407F1C79"/>
    <w:rsid w:val="40964ECD"/>
    <w:rsid w:val="409A4924"/>
    <w:rsid w:val="409B660A"/>
    <w:rsid w:val="409F1AF2"/>
    <w:rsid w:val="40A96AA7"/>
    <w:rsid w:val="40B04F11"/>
    <w:rsid w:val="40BC2D96"/>
    <w:rsid w:val="40C27447"/>
    <w:rsid w:val="40C357E1"/>
    <w:rsid w:val="40D17960"/>
    <w:rsid w:val="40D25362"/>
    <w:rsid w:val="40D641E4"/>
    <w:rsid w:val="40DA6FCE"/>
    <w:rsid w:val="40DB2F7B"/>
    <w:rsid w:val="40DD7A15"/>
    <w:rsid w:val="40E045E4"/>
    <w:rsid w:val="40EC5BC0"/>
    <w:rsid w:val="40F14F60"/>
    <w:rsid w:val="40F32FE2"/>
    <w:rsid w:val="40FD27A7"/>
    <w:rsid w:val="40FE2CBD"/>
    <w:rsid w:val="410628E5"/>
    <w:rsid w:val="41080CDA"/>
    <w:rsid w:val="410F3EF6"/>
    <w:rsid w:val="411266A1"/>
    <w:rsid w:val="41166448"/>
    <w:rsid w:val="4117383C"/>
    <w:rsid w:val="41187806"/>
    <w:rsid w:val="411C1598"/>
    <w:rsid w:val="41332550"/>
    <w:rsid w:val="413362A7"/>
    <w:rsid w:val="413A18F1"/>
    <w:rsid w:val="413D6BEA"/>
    <w:rsid w:val="414032D5"/>
    <w:rsid w:val="41423470"/>
    <w:rsid w:val="414311A9"/>
    <w:rsid w:val="41431890"/>
    <w:rsid w:val="41497192"/>
    <w:rsid w:val="41522971"/>
    <w:rsid w:val="4157061F"/>
    <w:rsid w:val="415E7F1E"/>
    <w:rsid w:val="4163168B"/>
    <w:rsid w:val="4163554B"/>
    <w:rsid w:val="41645CF3"/>
    <w:rsid w:val="41684FED"/>
    <w:rsid w:val="416A0352"/>
    <w:rsid w:val="41705CAC"/>
    <w:rsid w:val="417428C6"/>
    <w:rsid w:val="417852FE"/>
    <w:rsid w:val="41792489"/>
    <w:rsid w:val="417C5F10"/>
    <w:rsid w:val="418718DD"/>
    <w:rsid w:val="418A4550"/>
    <w:rsid w:val="418E176C"/>
    <w:rsid w:val="41906206"/>
    <w:rsid w:val="419272EB"/>
    <w:rsid w:val="41975AE6"/>
    <w:rsid w:val="419A0534"/>
    <w:rsid w:val="419B25C4"/>
    <w:rsid w:val="419E170C"/>
    <w:rsid w:val="41A7672E"/>
    <w:rsid w:val="41AB23B6"/>
    <w:rsid w:val="41AB30BD"/>
    <w:rsid w:val="41B1186A"/>
    <w:rsid w:val="41B1460C"/>
    <w:rsid w:val="41B229B0"/>
    <w:rsid w:val="41B97EBF"/>
    <w:rsid w:val="41C10CE5"/>
    <w:rsid w:val="41C16449"/>
    <w:rsid w:val="41C17B42"/>
    <w:rsid w:val="41C9447D"/>
    <w:rsid w:val="41CC25BC"/>
    <w:rsid w:val="41CE5E0A"/>
    <w:rsid w:val="41D63C39"/>
    <w:rsid w:val="41D66680"/>
    <w:rsid w:val="41DA5C61"/>
    <w:rsid w:val="41DF2AEE"/>
    <w:rsid w:val="41DF3315"/>
    <w:rsid w:val="41E71F48"/>
    <w:rsid w:val="41E928C7"/>
    <w:rsid w:val="41ED261A"/>
    <w:rsid w:val="41EE2D31"/>
    <w:rsid w:val="42022EC8"/>
    <w:rsid w:val="4205489F"/>
    <w:rsid w:val="420C1B06"/>
    <w:rsid w:val="420D63A5"/>
    <w:rsid w:val="420E6F70"/>
    <w:rsid w:val="42101E16"/>
    <w:rsid w:val="42127349"/>
    <w:rsid w:val="421337A1"/>
    <w:rsid w:val="42167D3F"/>
    <w:rsid w:val="42216661"/>
    <w:rsid w:val="42286EE1"/>
    <w:rsid w:val="42295B17"/>
    <w:rsid w:val="422C1E62"/>
    <w:rsid w:val="42312C1E"/>
    <w:rsid w:val="42314F10"/>
    <w:rsid w:val="42321CC7"/>
    <w:rsid w:val="42363BC7"/>
    <w:rsid w:val="4238215D"/>
    <w:rsid w:val="42387696"/>
    <w:rsid w:val="42396559"/>
    <w:rsid w:val="42445990"/>
    <w:rsid w:val="424C57D2"/>
    <w:rsid w:val="42506F5E"/>
    <w:rsid w:val="42537038"/>
    <w:rsid w:val="425A1E19"/>
    <w:rsid w:val="425F263B"/>
    <w:rsid w:val="42683F51"/>
    <w:rsid w:val="426874E9"/>
    <w:rsid w:val="426C5343"/>
    <w:rsid w:val="426E0E54"/>
    <w:rsid w:val="426E3325"/>
    <w:rsid w:val="42723962"/>
    <w:rsid w:val="42746CC9"/>
    <w:rsid w:val="42782D0E"/>
    <w:rsid w:val="42793B69"/>
    <w:rsid w:val="427F7E2D"/>
    <w:rsid w:val="42812BEB"/>
    <w:rsid w:val="428611BC"/>
    <w:rsid w:val="428B2A05"/>
    <w:rsid w:val="42917131"/>
    <w:rsid w:val="42925DB2"/>
    <w:rsid w:val="42932F4B"/>
    <w:rsid w:val="429372FA"/>
    <w:rsid w:val="429831F5"/>
    <w:rsid w:val="429D6A07"/>
    <w:rsid w:val="429E4757"/>
    <w:rsid w:val="42A0605B"/>
    <w:rsid w:val="42A3261E"/>
    <w:rsid w:val="42AF287A"/>
    <w:rsid w:val="42B62EC6"/>
    <w:rsid w:val="42BA667D"/>
    <w:rsid w:val="42BE31F4"/>
    <w:rsid w:val="42C35F6C"/>
    <w:rsid w:val="42C50595"/>
    <w:rsid w:val="42C66FA3"/>
    <w:rsid w:val="42C94130"/>
    <w:rsid w:val="42C95B95"/>
    <w:rsid w:val="42D43679"/>
    <w:rsid w:val="42D812EB"/>
    <w:rsid w:val="42E13330"/>
    <w:rsid w:val="42E23496"/>
    <w:rsid w:val="42E87A95"/>
    <w:rsid w:val="42EA568A"/>
    <w:rsid w:val="42F905B7"/>
    <w:rsid w:val="42F97BDF"/>
    <w:rsid w:val="42FA3568"/>
    <w:rsid w:val="42FB3958"/>
    <w:rsid w:val="42FC322C"/>
    <w:rsid w:val="43011432"/>
    <w:rsid w:val="430557C4"/>
    <w:rsid w:val="430934B1"/>
    <w:rsid w:val="430E5437"/>
    <w:rsid w:val="43122A4F"/>
    <w:rsid w:val="431567DE"/>
    <w:rsid w:val="431B24E0"/>
    <w:rsid w:val="431F46B8"/>
    <w:rsid w:val="432018AD"/>
    <w:rsid w:val="43205D1A"/>
    <w:rsid w:val="432129E2"/>
    <w:rsid w:val="43227225"/>
    <w:rsid w:val="432620F2"/>
    <w:rsid w:val="432B2309"/>
    <w:rsid w:val="433038FF"/>
    <w:rsid w:val="43370EAC"/>
    <w:rsid w:val="43374AE2"/>
    <w:rsid w:val="43440924"/>
    <w:rsid w:val="43441DEB"/>
    <w:rsid w:val="43447D0C"/>
    <w:rsid w:val="4345287C"/>
    <w:rsid w:val="4345375F"/>
    <w:rsid w:val="43453872"/>
    <w:rsid w:val="434719A3"/>
    <w:rsid w:val="434B6E74"/>
    <w:rsid w:val="434C41B3"/>
    <w:rsid w:val="434D1638"/>
    <w:rsid w:val="4357300A"/>
    <w:rsid w:val="4358150D"/>
    <w:rsid w:val="435D361A"/>
    <w:rsid w:val="43601C4F"/>
    <w:rsid w:val="43611305"/>
    <w:rsid w:val="43654953"/>
    <w:rsid w:val="43675239"/>
    <w:rsid w:val="436B28B9"/>
    <w:rsid w:val="436E7405"/>
    <w:rsid w:val="437300B3"/>
    <w:rsid w:val="4373507D"/>
    <w:rsid w:val="43740DC6"/>
    <w:rsid w:val="438028DB"/>
    <w:rsid w:val="43807538"/>
    <w:rsid w:val="43933756"/>
    <w:rsid w:val="439B5E66"/>
    <w:rsid w:val="439C453E"/>
    <w:rsid w:val="439F6C52"/>
    <w:rsid w:val="43A40C40"/>
    <w:rsid w:val="43A45264"/>
    <w:rsid w:val="43AD1F2B"/>
    <w:rsid w:val="43AD6B2B"/>
    <w:rsid w:val="43B0246E"/>
    <w:rsid w:val="43B458B4"/>
    <w:rsid w:val="43B615DF"/>
    <w:rsid w:val="43BD0C79"/>
    <w:rsid w:val="43BD6E5F"/>
    <w:rsid w:val="43BE37EE"/>
    <w:rsid w:val="43BE4455"/>
    <w:rsid w:val="43BE6232"/>
    <w:rsid w:val="43C57E2B"/>
    <w:rsid w:val="43C97B48"/>
    <w:rsid w:val="43D349E2"/>
    <w:rsid w:val="43D713D0"/>
    <w:rsid w:val="43D951C6"/>
    <w:rsid w:val="43D95633"/>
    <w:rsid w:val="43D962B5"/>
    <w:rsid w:val="43DA1716"/>
    <w:rsid w:val="43EF0FE2"/>
    <w:rsid w:val="43F5242E"/>
    <w:rsid w:val="43F83014"/>
    <w:rsid w:val="43F971B6"/>
    <w:rsid w:val="43FD514C"/>
    <w:rsid w:val="43FE2FD4"/>
    <w:rsid w:val="44011F00"/>
    <w:rsid w:val="440C3942"/>
    <w:rsid w:val="4418441E"/>
    <w:rsid w:val="441C152A"/>
    <w:rsid w:val="441C3D45"/>
    <w:rsid w:val="442347E8"/>
    <w:rsid w:val="442E7956"/>
    <w:rsid w:val="44385C50"/>
    <w:rsid w:val="443E10F8"/>
    <w:rsid w:val="444059B8"/>
    <w:rsid w:val="44405AD1"/>
    <w:rsid w:val="44415838"/>
    <w:rsid w:val="444454E3"/>
    <w:rsid w:val="44472BCC"/>
    <w:rsid w:val="4449591C"/>
    <w:rsid w:val="444E7AB7"/>
    <w:rsid w:val="444F6C5E"/>
    <w:rsid w:val="44531571"/>
    <w:rsid w:val="44600092"/>
    <w:rsid w:val="44661ADD"/>
    <w:rsid w:val="446A038F"/>
    <w:rsid w:val="446F1124"/>
    <w:rsid w:val="447A3165"/>
    <w:rsid w:val="447C700B"/>
    <w:rsid w:val="447F27A2"/>
    <w:rsid w:val="44872FC9"/>
    <w:rsid w:val="449141DD"/>
    <w:rsid w:val="44974D76"/>
    <w:rsid w:val="44980201"/>
    <w:rsid w:val="44982F38"/>
    <w:rsid w:val="44A122DD"/>
    <w:rsid w:val="44A7469E"/>
    <w:rsid w:val="44A76CF6"/>
    <w:rsid w:val="44AB30CC"/>
    <w:rsid w:val="44AD1FCC"/>
    <w:rsid w:val="44B30262"/>
    <w:rsid w:val="44B50652"/>
    <w:rsid w:val="44B63A6E"/>
    <w:rsid w:val="44B738AE"/>
    <w:rsid w:val="44BB49EB"/>
    <w:rsid w:val="44BD0353"/>
    <w:rsid w:val="44BD380C"/>
    <w:rsid w:val="44C5081E"/>
    <w:rsid w:val="44CD31E2"/>
    <w:rsid w:val="44D576CF"/>
    <w:rsid w:val="44D64B1E"/>
    <w:rsid w:val="44DA58D3"/>
    <w:rsid w:val="44DB3624"/>
    <w:rsid w:val="44DD62F3"/>
    <w:rsid w:val="44DF60D4"/>
    <w:rsid w:val="44E04549"/>
    <w:rsid w:val="44E05C53"/>
    <w:rsid w:val="44E873FC"/>
    <w:rsid w:val="44E87F74"/>
    <w:rsid w:val="44EE0F9A"/>
    <w:rsid w:val="44F15080"/>
    <w:rsid w:val="44F20D8A"/>
    <w:rsid w:val="44F3240C"/>
    <w:rsid w:val="44F32FB8"/>
    <w:rsid w:val="44F67BAD"/>
    <w:rsid w:val="44FC7513"/>
    <w:rsid w:val="45020204"/>
    <w:rsid w:val="4504455C"/>
    <w:rsid w:val="45050401"/>
    <w:rsid w:val="450B623D"/>
    <w:rsid w:val="450C1A3E"/>
    <w:rsid w:val="45156827"/>
    <w:rsid w:val="451E56DB"/>
    <w:rsid w:val="4525645E"/>
    <w:rsid w:val="45291083"/>
    <w:rsid w:val="453453B2"/>
    <w:rsid w:val="45350C77"/>
    <w:rsid w:val="453A3D5A"/>
    <w:rsid w:val="453B3AD4"/>
    <w:rsid w:val="454315E6"/>
    <w:rsid w:val="45442C68"/>
    <w:rsid w:val="45463765"/>
    <w:rsid w:val="454964D0"/>
    <w:rsid w:val="454B22CD"/>
    <w:rsid w:val="455628C6"/>
    <w:rsid w:val="45590D23"/>
    <w:rsid w:val="455E543A"/>
    <w:rsid w:val="456526DC"/>
    <w:rsid w:val="456A1321"/>
    <w:rsid w:val="456B6252"/>
    <w:rsid w:val="456E2E11"/>
    <w:rsid w:val="457173CC"/>
    <w:rsid w:val="4577303D"/>
    <w:rsid w:val="45774DEB"/>
    <w:rsid w:val="457A6CE2"/>
    <w:rsid w:val="457D260A"/>
    <w:rsid w:val="458147CB"/>
    <w:rsid w:val="45827D03"/>
    <w:rsid w:val="458A3812"/>
    <w:rsid w:val="458F4FCD"/>
    <w:rsid w:val="45911842"/>
    <w:rsid w:val="45912560"/>
    <w:rsid w:val="45A14200"/>
    <w:rsid w:val="45AA6F6F"/>
    <w:rsid w:val="45BA3A4B"/>
    <w:rsid w:val="45BC7A04"/>
    <w:rsid w:val="45C12494"/>
    <w:rsid w:val="45C168FC"/>
    <w:rsid w:val="45C16CCF"/>
    <w:rsid w:val="45C21B7D"/>
    <w:rsid w:val="45D10EC5"/>
    <w:rsid w:val="45D65FB6"/>
    <w:rsid w:val="45D83116"/>
    <w:rsid w:val="45E16DA8"/>
    <w:rsid w:val="45E31CCC"/>
    <w:rsid w:val="45E42AD7"/>
    <w:rsid w:val="45E87552"/>
    <w:rsid w:val="45E967FA"/>
    <w:rsid w:val="45E96D9E"/>
    <w:rsid w:val="45EC457D"/>
    <w:rsid w:val="45F349F5"/>
    <w:rsid w:val="45F439F4"/>
    <w:rsid w:val="45F9445B"/>
    <w:rsid w:val="45FE5C33"/>
    <w:rsid w:val="45FE6567"/>
    <w:rsid w:val="46016203"/>
    <w:rsid w:val="46130315"/>
    <w:rsid w:val="46177320"/>
    <w:rsid w:val="461A12B0"/>
    <w:rsid w:val="461F3BC1"/>
    <w:rsid w:val="46210CC6"/>
    <w:rsid w:val="46226875"/>
    <w:rsid w:val="46317741"/>
    <w:rsid w:val="463458E1"/>
    <w:rsid w:val="46401681"/>
    <w:rsid w:val="46471244"/>
    <w:rsid w:val="46476EB4"/>
    <w:rsid w:val="46494EB5"/>
    <w:rsid w:val="464B7691"/>
    <w:rsid w:val="464C452A"/>
    <w:rsid w:val="464E05EB"/>
    <w:rsid w:val="464E7AA9"/>
    <w:rsid w:val="46506864"/>
    <w:rsid w:val="46510993"/>
    <w:rsid w:val="46556A04"/>
    <w:rsid w:val="4660270E"/>
    <w:rsid w:val="46680D96"/>
    <w:rsid w:val="466A0F7A"/>
    <w:rsid w:val="466C45FD"/>
    <w:rsid w:val="46704B08"/>
    <w:rsid w:val="4673057A"/>
    <w:rsid w:val="46746524"/>
    <w:rsid w:val="46755639"/>
    <w:rsid w:val="46787996"/>
    <w:rsid w:val="46793652"/>
    <w:rsid w:val="467A3682"/>
    <w:rsid w:val="4684633F"/>
    <w:rsid w:val="468938CC"/>
    <w:rsid w:val="468A7785"/>
    <w:rsid w:val="46902609"/>
    <w:rsid w:val="4697550E"/>
    <w:rsid w:val="469B4DC3"/>
    <w:rsid w:val="469B5D6D"/>
    <w:rsid w:val="46A35984"/>
    <w:rsid w:val="46A76774"/>
    <w:rsid w:val="46A80D82"/>
    <w:rsid w:val="46AC3599"/>
    <w:rsid w:val="46AC4B9C"/>
    <w:rsid w:val="46AD46D2"/>
    <w:rsid w:val="46AD49D6"/>
    <w:rsid w:val="46B15869"/>
    <w:rsid w:val="46B20228"/>
    <w:rsid w:val="46B26810"/>
    <w:rsid w:val="46BB7BAE"/>
    <w:rsid w:val="46BD4AFD"/>
    <w:rsid w:val="46BF304B"/>
    <w:rsid w:val="46C27E2B"/>
    <w:rsid w:val="46C42537"/>
    <w:rsid w:val="46CB3B16"/>
    <w:rsid w:val="46CB5780"/>
    <w:rsid w:val="46CC072E"/>
    <w:rsid w:val="46D22F1F"/>
    <w:rsid w:val="46DC08D4"/>
    <w:rsid w:val="46DF4B35"/>
    <w:rsid w:val="46E45929"/>
    <w:rsid w:val="46E94533"/>
    <w:rsid w:val="46E950E6"/>
    <w:rsid w:val="46E97115"/>
    <w:rsid w:val="46EA62AD"/>
    <w:rsid w:val="46EB5A91"/>
    <w:rsid w:val="46EE3AB7"/>
    <w:rsid w:val="46EF5CFC"/>
    <w:rsid w:val="46F012F9"/>
    <w:rsid w:val="46F575B9"/>
    <w:rsid w:val="46F831D6"/>
    <w:rsid w:val="46F913A1"/>
    <w:rsid w:val="46FF6008"/>
    <w:rsid w:val="470457E6"/>
    <w:rsid w:val="47074B0A"/>
    <w:rsid w:val="470D1D81"/>
    <w:rsid w:val="470D6E20"/>
    <w:rsid w:val="471320F9"/>
    <w:rsid w:val="47166A87"/>
    <w:rsid w:val="47172362"/>
    <w:rsid w:val="4717367A"/>
    <w:rsid w:val="47185071"/>
    <w:rsid w:val="47191AEF"/>
    <w:rsid w:val="47217705"/>
    <w:rsid w:val="4723715F"/>
    <w:rsid w:val="472530E4"/>
    <w:rsid w:val="472E5EFB"/>
    <w:rsid w:val="47307DD7"/>
    <w:rsid w:val="47321110"/>
    <w:rsid w:val="47356D0C"/>
    <w:rsid w:val="473817A2"/>
    <w:rsid w:val="473C1065"/>
    <w:rsid w:val="473C1E11"/>
    <w:rsid w:val="473F409F"/>
    <w:rsid w:val="47411EB9"/>
    <w:rsid w:val="4741268A"/>
    <w:rsid w:val="47484C91"/>
    <w:rsid w:val="4749263F"/>
    <w:rsid w:val="47496A9E"/>
    <w:rsid w:val="474C23A8"/>
    <w:rsid w:val="474F412F"/>
    <w:rsid w:val="475029D2"/>
    <w:rsid w:val="47525B10"/>
    <w:rsid w:val="475603F6"/>
    <w:rsid w:val="475B5EFF"/>
    <w:rsid w:val="47624D01"/>
    <w:rsid w:val="47643220"/>
    <w:rsid w:val="47646FB7"/>
    <w:rsid w:val="4766336A"/>
    <w:rsid w:val="476866CC"/>
    <w:rsid w:val="476D58D9"/>
    <w:rsid w:val="47722A18"/>
    <w:rsid w:val="47736929"/>
    <w:rsid w:val="47741D0C"/>
    <w:rsid w:val="47763265"/>
    <w:rsid w:val="477E4B57"/>
    <w:rsid w:val="47876B9F"/>
    <w:rsid w:val="47892466"/>
    <w:rsid w:val="479236A7"/>
    <w:rsid w:val="4792415F"/>
    <w:rsid w:val="47925F0D"/>
    <w:rsid w:val="47953EA1"/>
    <w:rsid w:val="47970F9B"/>
    <w:rsid w:val="479E6FA7"/>
    <w:rsid w:val="47A21288"/>
    <w:rsid w:val="47A213C0"/>
    <w:rsid w:val="47AD7200"/>
    <w:rsid w:val="47B75F45"/>
    <w:rsid w:val="47B76453"/>
    <w:rsid w:val="47B916EB"/>
    <w:rsid w:val="47BE040B"/>
    <w:rsid w:val="47BE7324"/>
    <w:rsid w:val="47C2640D"/>
    <w:rsid w:val="47C4437E"/>
    <w:rsid w:val="47C6205A"/>
    <w:rsid w:val="47CA3EBD"/>
    <w:rsid w:val="47CB0D7F"/>
    <w:rsid w:val="47D227AD"/>
    <w:rsid w:val="47D90007"/>
    <w:rsid w:val="47DC187E"/>
    <w:rsid w:val="47DC4284"/>
    <w:rsid w:val="47DF7B1C"/>
    <w:rsid w:val="47E016E9"/>
    <w:rsid w:val="47E744AA"/>
    <w:rsid w:val="47E8372E"/>
    <w:rsid w:val="47EA57CB"/>
    <w:rsid w:val="47EE2BEA"/>
    <w:rsid w:val="47F14B91"/>
    <w:rsid w:val="47F21EF0"/>
    <w:rsid w:val="47F5197C"/>
    <w:rsid w:val="47F95DB7"/>
    <w:rsid w:val="48005B89"/>
    <w:rsid w:val="480C54F8"/>
    <w:rsid w:val="480F2E5A"/>
    <w:rsid w:val="48114D52"/>
    <w:rsid w:val="481608EC"/>
    <w:rsid w:val="48194880"/>
    <w:rsid w:val="4819703C"/>
    <w:rsid w:val="481B63AE"/>
    <w:rsid w:val="481D120F"/>
    <w:rsid w:val="482105C0"/>
    <w:rsid w:val="48211E7E"/>
    <w:rsid w:val="482F2FD6"/>
    <w:rsid w:val="48312B7C"/>
    <w:rsid w:val="4832333B"/>
    <w:rsid w:val="48342F88"/>
    <w:rsid w:val="483510C7"/>
    <w:rsid w:val="48372F25"/>
    <w:rsid w:val="483B1A37"/>
    <w:rsid w:val="483E3E03"/>
    <w:rsid w:val="483E5A6A"/>
    <w:rsid w:val="4845019B"/>
    <w:rsid w:val="484551FC"/>
    <w:rsid w:val="4849312C"/>
    <w:rsid w:val="484C2E46"/>
    <w:rsid w:val="4858290B"/>
    <w:rsid w:val="48591FC4"/>
    <w:rsid w:val="485B4A3F"/>
    <w:rsid w:val="485C39F4"/>
    <w:rsid w:val="485D4F9C"/>
    <w:rsid w:val="4862142D"/>
    <w:rsid w:val="48626E30"/>
    <w:rsid w:val="48636ED0"/>
    <w:rsid w:val="48677399"/>
    <w:rsid w:val="48680479"/>
    <w:rsid w:val="486F668F"/>
    <w:rsid w:val="487835F2"/>
    <w:rsid w:val="487D096B"/>
    <w:rsid w:val="4884688A"/>
    <w:rsid w:val="489268EE"/>
    <w:rsid w:val="48931F3C"/>
    <w:rsid w:val="48952A5D"/>
    <w:rsid w:val="48964443"/>
    <w:rsid w:val="489701E4"/>
    <w:rsid w:val="489C5552"/>
    <w:rsid w:val="48A309E1"/>
    <w:rsid w:val="48AA0CFE"/>
    <w:rsid w:val="48AB0568"/>
    <w:rsid w:val="48AB58D0"/>
    <w:rsid w:val="48B23A8E"/>
    <w:rsid w:val="48B3438D"/>
    <w:rsid w:val="48B84099"/>
    <w:rsid w:val="48BC5FDF"/>
    <w:rsid w:val="48BE0D41"/>
    <w:rsid w:val="48C170BE"/>
    <w:rsid w:val="48C34E0C"/>
    <w:rsid w:val="48C7293C"/>
    <w:rsid w:val="48CA042B"/>
    <w:rsid w:val="48CC11B1"/>
    <w:rsid w:val="48CD0CC0"/>
    <w:rsid w:val="48D04359"/>
    <w:rsid w:val="48D34BAB"/>
    <w:rsid w:val="48D367DD"/>
    <w:rsid w:val="48D662CD"/>
    <w:rsid w:val="48D949EA"/>
    <w:rsid w:val="48DA0793"/>
    <w:rsid w:val="48E44A4C"/>
    <w:rsid w:val="48E56510"/>
    <w:rsid w:val="48EE2112"/>
    <w:rsid w:val="48F02EFF"/>
    <w:rsid w:val="48F73D54"/>
    <w:rsid w:val="48F96CCE"/>
    <w:rsid w:val="48FC187E"/>
    <w:rsid w:val="49021898"/>
    <w:rsid w:val="490265B3"/>
    <w:rsid w:val="49050A4B"/>
    <w:rsid w:val="4905290C"/>
    <w:rsid w:val="4906054D"/>
    <w:rsid w:val="49063785"/>
    <w:rsid w:val="49073A9A"/>
    <w:rsid w:val="49094559"/>
    <w:rsid w:val="491312CF"/>
    <w:rsid w:val="491C548A"/>
    <w:rsid w:val="491D1B81"/>
    <w:rsid w:val="492A49F9"/>
    <w:rsid w:val="492F531F"/>
    <w:rsid w:val="492F6636"/>
    <w:rsid w:val="492F7E36"/>
    <w:rsid w:val="493F2ADC"/>
    <w:rsid w:val="49405D5E"/>
    <w:rsid w:val="494A3653"/>
    <w:rsid w:val="494A4B2B"/>
    <w:rsid w:val="494B0205"/>
    <w:rsid w:val="49555364"/>
    <w:rsid w:val="49561E92"/>
    <w:rsid w:val="496123F8"/>
    <w:rsid w:val="496724C8"/>
    <w:rsid w:val="496A1DB8"/>
    <w:rsid w:val="496A3584"/>
    <w:rsid w:val="496B1EB3"/>
    <w:rsid w:val="4971045B"/>
    <w:rsid w:val="4979031F"/>
    <w:rsid w:val="497976FA"/>
    <w:rsid w:val="497C0446"/>
    <w:rsid w:val="497C5DB9"/>
    <w:rsid w:val="49833A3E"/>
    <w:rsid w:val="49840790"/>
    <w:rsid w:val="49896678"/>
    <w:rsid w:val="498B1F45"/>
    <w:rsid w:val="4991146B"/>
    <w:rsid w:val="499C59AF"/>
    <w:rsid w:val="499E6A9E"/>
    <w:rsid w:val="499F6E49"/>
    <w:rsid w:val="49A07E8E"/>
    <w:rsid w:val="49A91C92"/>
    <w:rsid w:val="49AE68B8"/>
    <w:rsid w:val="49B035DC"/>
    <w:rsid w:val="49B76EFA"/>
    <w:rsid w:val="49C60139"/>
    <w:rsid w:val="49C63B01"/>
    <w:rsid w:val="49C97BB8"/>
    <w:rsid w:val="49CC051E"/>
    <w:rsid w:val="49D56585"/>
    <w:rsid w:val="49D82FE4"/>
    <w:rsid w:val="49D85DE8"/>
    <w:rsid w:val="49D97E23"/>
    <w:rsid w:val="49DC3DB7"/>
    <w:rsid w:val="49E031BF"/>
    <w:rsid w:val="49E11689"/>
    <w:rsid w:val="49E16CA2"/>
    <w:rsid w:val="49E6704C"/>
    <w:rsid w:val="49EE6A1F"/>
    <w:rsid w:val="49EF23AD"/>
    <w:rsid w:val="49F14CC3"/>
    <w:rsid w:val="49F35390"/>
    <w:rsid w:val="49F42B19"/>
    <w:rsid w:val="49F5309D"/>
    <w:rsid w:val="49F54083"/>
    <w:rsid w:val="49FC1D63"/>
    <w:rsid w:val="49FD6413"/>
    <w:rsid w:val="4A104C1F"/>
    <w:rsid w:val="4A1665D2"/>
    <w:rsid w:val="4A182A73"/>
    <w:rsid w:val="4A194C10"/>
    <w:rsid w:val="4A1F3395"/>
    <w:rsid w:val="4A217B4F"/>
    <w:rsid w:val="4A2308DE"/>
    <w:rsid w:val="4A2776EB"/>
    <w:rsid w:val="4A2D4EAF"/>
    <w:rsid w:val="4A3D4FF8"/>
    <w:rsid w:val="4A3D6D5C"/>
    <w:rsid w:val="4A3E1126"/>
    <w:rsid w:val="4A3F629B"/>
    <w:rsid w:val="4A410956"/>
    <w:rsid w:val="4A416D23"/>
    <w:rsid w:val="4A4200BE"/>
    <w:rsid w:val="4A4316BE"/>
    <w:rsid w:val="4A434208"/>
    <w:rsid w:val="4A4E5706"/>
    <w:rsid w:val="4A546A31"/>
    <w:rsid w:val="4A595A4F"/>
    <w:rsid w:val="4A5E6408"/>
    <w:rsid w:val="4A673681"/>
    <w:rsid w:val="4A691BA3"/>
    <w:rsid w:val="4A7403F7"/>
    <w:rsid w:val="4A746F7F"/>
    <w:rsid w:val="4A75264F"/>
    <w:rsid w:val="4A764225"/>
    <w:rsid w:val="4A8622B6"/>
    <w:rsid w:val="4A882A25"/>
    <w:rsid w:val="4A8B4465"/>
    <w:rsid w:val="4AA13962"/>
    <w:rsid w:val="4AAC618D"/>
    <w:rsid w:val="4AAF15C4"/>
    <w:rsid w:val="4ABA55C9"/>
    <w:rsid w:val="4ABB1998"/>
    <w:rsid w:val="4ABF25A4"/>
    <w:rsid w:val="4ABF34BD"/>
    <w:rsid w:val="4AC162B6"/>
    <w:rsid w:val="4AC23D56"/>
    <w:rsid w:val="4AC3356E"/>
    <w:rsid w:val="4AC524FD"/>
    <w:rsid w:val="4AD11ADF"/>
    <w:rsid w:val="4AD17AB5"/>
    <w:rsid w:val="4AD17B27"/>
    <w:rsid w:val="4AD21A83"/>
    <w:rsid w:val="4AD5740B"/>
    <w:rsid w:val="4AD76629"/>
    <w:rsid w:val="4AD92BE1"/>
    <w:rsid w:val="4ADB40EF"/>
    <w:rsid w:val="4ADD4949"/>
    <w:rsid w:val="4AE703CB"/>
    <w:rsid w:val="4AE7656F"/>
    <w:rsid w:val="4AE86A3E"/>
    <w:rsid w:val="4AF1673C"/>
    <w:rsid w:val="4AF43B8F"/>
    <w:rsid w:val="4AF63D85"/>
    <w:rsid w:val="4AF7270C"/>
    <w:rsid w:val="4AFF0FC4"/>
    <w:rsid w:val="4B007631"/>
    <w:rsid w:val="4B0405D2"/>
    <w:rsid w:val="4B0B275D"/>
    <w:rsid w:val="4B0C10BD"/>
    <w:rsid w:val="4B0C2380"/>
    <w:rsid w:val="4B0F610D"/>
    <w:rsid w:val="4B157243"/>
    <w:rsid w:val="4B1B6412"/>
    <w:rsid w:val="4B1C777E"/>
    <w:rsid w:val="4B272E10"/>
    <w:rsid w:val="4B2E23F0"/>
    <w:rsid w:val="4B2E6916"/>
    <w:rsid w:val="4B33627A"/>
    <w:rsid w:val="4B35552D"/>
    <w:rsid w:val="4B356505"/>
    <w:rsid w:val="4B36766D"/>
    <w:rsid w:val="4B370157"/>
    <w:rsid w:val="4B3A331C"/>
    <w:rsid w:val="4B3C1D9B"/>
    <w:rsid w:val="4B3D32A5"/>
    <w:rsid w:val="4B454697"/>
    <w:rsid w:val="4B460124"/>
    <w:rsid w:val="4B481704"/>
    <w:rsid w:val="4B4B5D19"/>
    <w:rsid w:val="4B4B7070"/>
    <w:rsid w:val="4B4D4169"/>
    <w:rsid w:val="4B503E7D"/>
    <w:rsid w:val="4B5526A6"/>
    <w:rsid w:val="4B63004E"/>
    <w:rsid w:val="4B682676"/>
    <w:rsid w:val="4B6A5B42"/>
    <w:rsid w:val="4B6A739A"/>
    <w:rsid w:val="4B6B2FC4"/>
    <w:rsid w:val="4B791D52"/>
    <w:rsid w:val="4B7C7600"/>
    <w:rsid w:val="4B7D6867"/>
    <w:rsid w:val="4B7F7ECA"/>
    <w:rsid w:val="4B816AF3"/>
    <w:rsid w:val="4B84080B"/>
    <w:rsid w:val="4B872B2C"/>
    <w:rsid w:val="4B884B1B"/>
    <w:rsid w:val="4B8C7D59"/>
    <w:rsid w:val="4B8D7E12"/>
    <w:rsid w:val="4B907252"/>
    <w:rsid w:val="4B942086"/>
    <w:rsid w:val="4B944DA5"/>
    <w:rsid w:val="4B9610E4"/>
    <w:rsid w:val="4BA12F2D"/>
    <w:rsid w:val="4BAB3CE8"/>
    <w:rsid w:val="4BB23021"/>
    <w:rsid w:val="4BB52B12"/>
    <w:rsid w:val="4BB56B3F"/>
    <w:rsid w:val="4BB651E9"/>
    <w:rsid w:val="4BBA5C6F"/>
    <w:rsid w:val="4BC3761F"/>
    <w:rsid w:val="4BCA0934"/>
    <w:rsid w:val="4BD05255"/>
    <w:rsid w:val="4BD65DD5"/>
    <w:rsid w:val="4BE7790A"/>
    <w:rsid w:val="4BEA27BB"/>
    <w:rsid w:val="4BEE2702"/>
    <w:rsid w:val="4BF1539E"/>
    <w:rsid w:val="4BF4138C"/>
    <w:rsid w:val="4BF46757"/>
    <w:rsid w:val="4BF57863"/>
    <w:rsid w:val="4BF912A5"/>
    <w:rsid w:val="4C0D69A5"/>
    <w:rsid w:val="4C114E73"/>
    <w:rsid w:val="4C194E4E"/>
    <w:rsid w:val="4C1B0BC7"/>
    <w:rsid w:val="4C2630C7"/>
    <w:rsid w:val="4C276414"/>
    <w:rsid w:val="4C2D4456"/>
    <w:rsid w:val="4C30348B"/>
    <w:rsid w:val="4C3434D6"/>
    <w:rsid w:val="4C434245"/>
    <w:rsid w:val="4C457E06"/>
    <w:rsid w:val="4C486022"/>
    <w:rsid w:val="4C4C6FD2"/>
    <w:rsid w:val="4C554718"/>
    <w:rsid w:val="4C5653EF"/>
    <w:rsid w:val="4C6111C2"/>
    <w:rsid w:val="4C6E0B31"/>
    <w:rsid w:val="4C6E490F"/>
    <w:rsid w:val="4C757CAE"/>
    <w:rsid w:val="4C771B75"/>
    <w:rsid w:val="4C7A3E0A"/>
    <w:rsid w:val="4C7B54FA"/>
    <w:rsid w:val="4C8059DE"/>
    <w:rsid w:val="4C805A12"/>
    <w:rsid w:val="4C8B3BFF"/>
    <w:rsid w:val="4C8F0964"/>
    <w:rsid w:val="4C8F7204"/>
    <w:rsid w:val="4C992C68"/>
    <w:rsid w:val="4C9A24A5"/>
    <w:rsid w:val="4CA42F63"/>
    <w:rsid w:val="4CA825F2"/>
    <w:rsid w:val="4CB4751A"/>
    <w:rsid w:val="4CBA7E8A"/>
    <w:rsid w:val="4CCA6149"/>
    <w:rsid w:val="4CCB2F3F"/>
    <w:rsid w:val="4CCC3C6F"/>
    <w:rsid w:val="4CD715B6"/>
    <w:rsid w:val="4CDE6719"/>
    <w:rsid w:val="4CE34671"/>
    <w:rsid w:val="4CE67FDA"/>
    <w:rsid w:val="4CEE1E37"/>
    <w:rsid w:val="4CF17BE5"/>
    <w:rsid w:val="4CF71359"/>
    <w:rsid w:val="4CF950CA"/>
    <w:rsid w:val="4CFE58B7"/>
    <w:rsid w:val="4CFF0951"/>
    <w:rsid w:val="4D037E68"/>
    <w:rsid w:val="4D037E8A"/>
    <w:rsid w:val="4D0C44EB"/>
    <w:rsid w:val="4D0D2B05"/>
    <w:rsid w:val="4D0D5045"/>
    <w:rsid w:val="4D0F375C"/>
    <w:rsid w:val="4D1A248B"/>
    <w:rsid w:val="4D1F4530"/>
    <w:rsid w:val="4D216009"/>
    <w:rsid w:val="4D241DA1"/>
    <w:rsid w:val="4D2C0BB1"/>
    <w:rsid w:val="4D390C14"/>
    <w:rsid w:val="4D3E62F9"/>
    <w:rsid w:val="4D44030C"/>
    <w:rsid w:val="4D446E65"/>
    <w:rsid w:val="4D451F4B"/>
    <w:rsid w:val="4D497020"/>
    <w:rsid w:val="4D525702"/>
    <w:rsid w:val="4D557329"/>
    <w:rsid w:val="4D5D520F"/>
    <w:rsid w:val="4D5D58E4"/>
    <w:rsid w:val="4D5E544F"/>
    <w:rsid w:val="4D694853"/>
    <w:rsid w:val="4D696E81"/>
    <w:rsid w:val="4D6E3730"/>
    <w:rsid w:val="4D701E95"/>
    <w:rsid w:val="4D7D0B22"/>
    <w:rsid w:val="4D814FF5"/>
    <w:rsid w:val="4D84279B"/>
    <w:rsid w:val="4D8A49E8"/>
    <w:rsid w:val="4D906E3A"/>
    <w:rsid w:val="4D964BDE"/>
    <w:rsid w:val="4DA22F6F"/>
    <w:rsid w:val="4DA366F2"/>
    <w:rsid w:val="4DA70238"/>
    <w:rsid w:val="4DAF3BE5"/>
    <w:rsid w:val="4DAF65D9"/>
    <w:rsid w:val="4DB30D09"/>
    <w:rsid w:val="4DBA440F"/>
    <w:rsid w:val="4DBD2AAA"/>
    <w:rsid w:val="4DC43E1F"/>
    <w:rsid w:val="4DC55756"/>
    <w:rsid w:val="4DC70A17"/>
    <w:rsid w:val="4DCA651D"/>
    <w:rsid w:val="4DD15495"/>
    <w:rsid w:val="4DD17443"/>
    <w:rsid w:val="4DD455C4"/>
    <w:rsid w:val="4DD70B1D"/>
    <w:rsid w:val="4DE05675"/>
    <w:rsid w:val="4DE22715"/>
    <w:rsid w:val="4DE23B68"/>
    <w:rsid w:val="4DED1400"/>
    <w:rsid w:val="4DEE1BA4"/>
    <w:rsid w:val="4DF85277"/>
    <w:rsid w:val="4DFC5B74"/>
    <w:rsid w:val="4E00643A"/>
    <w:rsid w:val="4E0D2AB8"/>
    <w:rsid w:val="4E0D5C56"/>
    <w:rsid w:val="4E0E0C8C"/>
    <w:rsid w:val="4E143B1F"/>
    <w:rsid w:val="4E167E6F"/>
    <w:rsid w:val="4E1A5E9B"/>
    <w:rsid w:val="4E1C3970"/>
    <w:rsid w:val="4E1D2564"/>
    <w:rsid w:val="4E206385"/>
    <w:rsid w:val="4E220315"/>
    <w:rsid w:val="4E240EE9"/>
    <w:rsid w:val="4E2521A3"/>
    <w:rsid w:val="4E265601"/>
    <w:rsid w:val="4E270E56"/>
    <w:rsid w:val="4E296E9F"/>
    <w:rsid w:val="4E2A5C68"/>
    <w:rsid w:val="4E2B750E"/>
    <w:rsid w:val="4E312F61"/>
    <w:rsid w:val="4E323096"/>
    <w:rsid w:val="4E3D23B0"/>
    <w:rsid w:val="4E4078C3"/>
    <w:rsid w:val="4E4168DE"/>
    <w:rsid w:val="4E465611"/>
    <w:rsid w:val="4E47368F"/>
    <w:rsid w:val="4E4774FC"/>
    <w:rsid w:val="4E480FFA"/>
    <w:rsid w:val="4E4912BB"/>
    <w:rsid w:val="4E4C5EF8"/>
    <w:rsid w:val="4E4D7031"/>
    <w:rsid w:val="4E4E35AB"/>
    <w:rsid w:val="4E525C89"/>
    <w:rsid w:val="4E54356D"/>
    <w:rsid w:val="4E5C0144"/>
    <w:rsid w:val="4E5E123E"/>
    <w:rsid w:val="4E66559D"/>
    <w:rsid w:val="4E683E6B"/>
    <w:rsid w:val="4E6C7842"/>
    <w:rsid w:val="4E716DD6"/>
    <w:rsid w:val="4E7961B8"/>
    <w:rsid w:val="4E7D41EF"/>
    <w:rsid w:val="4E7D5E83"/>
    <w:rsid w:val="4E7F034E"/>
    <w:rsid w:val="4E8743CF"/>
    <w:rsid w:val="4E8A19A2"/>
    <w:rsid w:val="4E8E2355"/>
    <w:rsid w:val="4E95357C"/>
    <w:rsid w:val="4E9555FC"/>
    <w:rsid w:val="4EA05D59"/>
    <w:rsid w:val="4EA73499"/>
    <w:rsid w:val="4EAB0E75"/>
    <w:rsid w:val="4EAF2A1E"/>
    <w:rsid w:val="4EAF6660"/>
    <w:rsid w:val="4EB0263D"/>
    <w:rsid w:val="4EB32F1C"/>
    <w:rsid w:val="4EC112A5"/>
    <w:rsid w:val="4EC27DC2"/>
    <w:rsid w:val="4EC56BC8"/>
    <w:rsid w:val="4EC8490A"/>
    <w:rsid w:val="4ECC264C"/>
    <w:rsid w:val="4ECC43FA"/>
    <w:rsid w:val="4ECD0FC1"/>
    <w:rsid w:val="4ECD7A91"/>
    <w:rsid w:val="4ED06087"/>
    <w:rsid w:val="4ED44440"/>
    <w:rsid w:val="4EDE06BA"/>
    <w:rsid w:val="4EE51018"/>
    <w:rsid w:val="4EE520BF"/>
    <w:rsid w:val="4EE53AF5"/>
    <w:rsid w:val="4EEE23AB"/>
    <w:rsid w:val="4EFD6367"/>
    <w:rsid w:val="4F0271A1"/>
    <w:rsid w:val="4F035942"/>
    <w:rsid w:val="4F05494C"/>
    <w:rsid w:val="4F0D50A9"/>
    <w:rsid w:val="4F1074C1"/>
    <w:rsid w:val="4F152226"/>
    <w:rsid w:val="4F155DA1"/>
    <w:rsid w:val="4F1A62E3"/>
    <w:rsid w:val="4F1C3A48"/>
    <w:rsid w:val="4F204746"/>
    <w:rsid w:val="4F20737B"/>
    <w:rsid w:val="4F2770E7"/>
    <w:rsid w:val="4F28335A"/>
    <w:rsid w:val="4F2C21D7"/>
    <w:rsid w:val="4F311C64"/>
    <w:rsid w:val="4F367D7E"/>
    <w:rsid w:val="4F3C7009"/>
    <w:rsid w:val="4F3E697A"/>
    <w:rsid w:val="4F3F7EDF"/>
    <w:rsid w:val="4F443F90"/>
    <w:rsid w:val="4F447D00"/>
    <w:rsid w:val="4F4573EC"/>
    <w:rsid w:val="4F460289"/>
    <w:rsid w:val="4F4645D3"/>
    <w:rsid w:val="4F473A81"/>
    <w:rsid w:val="4F4E06AB"/>
    <w:rsid w:val="4F52283D"/>
    <w:rsid w:val="4F526862"/>
    <w:rsid w:val="4F587A3C"/>
    <w:rsid w:val="4F5A268A"/>
    <w:rsid w:val="4F614504"/>
    <w:rsid w:val="4F624D5E"/>
    <w:rsid w:val="4F6A776F"/>
    <w:rsid w:val="4F6E7297"/>
    <w:rsid w:val="4F737BC5"/>
    <w:rsid w:val="4F7C224C"/>
    <w:rsid w:val="4F7C3D54"/>
    <w:rsid w:val="4F8306AF"/>
    <w:rsid w:val="4F897829"/>
    <w:rsid w:val="4F970DE9"/>
    <w:rsid w:val="4F971FC4"/>
    <w:rsid w:val="4F9729EE"/>
    <w:rsid w:val="4F9E5F3F"/>
    <w:rsid w:val="4FA136A6"/>
    <w:rsid w:val="4FA233AD"/>
    <w:rsid w:val="4FA5268C"/>
    <w:rsid w:val="4FA920B8"/>
    <w:rsid w:val="4FA931B8"/>
    <w:rsid w:val="4FAA22E5"/>
    <w:rsid w:val="4FB132D4"/>
    <w:rsid w:val="4FB62622"/>
    <w:rsid w:val="4FBF606A"/>
    <w:rsid w:val="4FC15206"/>
    <w:rsid w:val="4FC804D5"/>
    <w:rsid w:val="4FCC1A25"/>
    <w:rsid w:val="4FD720B3"/>
    <w:rsid w:val="4FD72753"/>
    <w:rsid w:val="4FF22676"/>
    <w:rsid w:val="4FF5150E"/>
    <w:rsid w:val="4FF94F51"/>
    <w:rsid w:val="4FFE1B06"/>
    <w:rsid w:val="4FFF05EA"/>
    <w:rsid w:val="50047F66"/>
    <w:rsid w:val="500A40D7"/>
    <w:rsid w:val="5019366F"/>
    <w:rsid w:val="501D3C60"/>
    <w:rsid w:val="501D7250"/>
    <w:rsid w:val="502138A5"/>
    <w:rsid w:val="502247A2"/>
    <w:rsid w:val="502410BE"/>
    <w:rsid w:val="50283721"/>
    <w:rsid w:val="50306E16"/>
    <w:rsid w:val="50361EDB"/>
    <w:rsid w:val="5037186C"/>
    <w:rsid w:val="503A1DC6"/>
    <w:rsid w:val="503D2103"/>
    <w:rsid w:val="504023D9"/>
    <w:rsid w:val="50447FC0"/>
    <w:rsid w:val="504601DC"/>
    <w:rsid w:val="504658AA"/>
    <w:rsid w:val="50487BF7"/>
    <w:rsid w:val="5054517C"/>
    <w:rsid w:val="505944DD"/>
    <w:rsid w:val="505A67EB"/>
    <w:rsid w:val="505C17AE"/>
    <w:rsid w:val="50750658"/>
    <w:rsid w:val="50765757"/>
    <w:rsid w:val="50767F23"/>
    <w:rsid w:val="507B7A67"/>
    <w:rsid w:val="508302E0"/>
    <w:rsid w:val="50837ABF"/>
    <w:rsid w:val="508C15FC"/>
    <w:rsid w:val="508C2093"/>
    <w:rsid w:val="50940F47"/>
    <w:rsid w:val="50971980"/>
    <w:rsid w:val="509B22D6"/>
    <w:rsid w:val="509B5208"/>
    <w:rsid w:val="50A867A1"/>
    <w:rsid w:val="50B35D00"/>
    <w:rsid w:val="50B4752B"/>
    <w:rsid w:val="50B63FD8"/>
    <w:rsid w:val="50B769E4"/>
    <w:rsid w:val="50B94C1E"/>
    <w:rsid w:val="50BB47E0"/>
    <w:rsid w:val="50BD18A9"/>
    <w:rsid w:val="50C46BEE"/>
    <w:rsid w:val="50CD7D90"/>
    <w:rsid w:val="50D6317E"/>
    <w:rsid w:val="50DC7ADC"/>
    <w:rsid w:val="50E33CEC"/>
    <w:rsid w:val="50EC0A58"/>
    <w:rsid w:val="50EF43D0"/>
    <w:rsid w:val="50F1639A"/>
    <w:rsid w:val="50F25C6E"/>
    <w:rsid w:val="50F767D3"/>
    <w:rsid w:val="50F96FFC"/>
    <w:rsid w:val="50FC73BD"/>
    <w:rsid w:val="50FD72C4"/>
    <w:rsid w:val="5104794E"/>
    <w:rsid w:val="51061295"/>
    <w:rsid w:val="510734AA"/>
    <w:rsid w:val="510F1A3E"/>
    <w:rsid w:val="511C56B7"/>
    <w:rsid w:val="511D1491"/>
    <w:rsid w:val="511D153D"/>
    <w:rsid w:val="511E4CB5"/>
    <w:rsid w:val="51205FD8"/>
    <w:rsid w:val="513C4376"/>
    <w:rsid w:val="51421593"/>
    <w:rsid w:val="51435D0C"/>
    <w:rsid w:val="51446169"/>
    <w:rsid w:val="51446C20"/>
    <w:rsid w:val="51505DC3"/>
    <w:rsid w:val="515811B0"/>
    <w:rsid w:val="51595CED"/>
    <w:rsid w:val="51597A9B"/>
    <w:rsid w:val="51672E07"/>
    <w:rsid w:val="516B6A17"/>
    <w:rsid w:val="516E22FB"/>
    <w:rsid w:val="516E77B4"/>
    <w:rsid w:val="51723A65"/>
    <w:rsid w:val="51732269"/>
    <w:rsid w:val="51763C44"/>
    <w:rsid w:val="517666BE"/>
    <w:rsid w:val="517765FC"/>
    <w:rsid w:val="518715F4"/>
    <w:rsid w:val="5187285A"/>
    <w:rsid w:val="51874608"/>
    <w:rsid w:val="51890C7B"/>
    <w:rsid w:val="518E3BE9"/>
    <w:rsid w:val="518E6497"/>
    <w:rsid w:val="51914511"/>
    <w:rsid w:val="51940DB0"/>
    <w:rsid w:val="5196484B"/>
    <w:rsid w:val="51985D68"/>
    <w:rsid w:val="519A032B"/>
    <w:rsid w:val="519E21FD"/>
    <w:rsid w:val="51AA50F9"/>
    <w:rsid w:val="51AD2D38"/>
    <w:rsid w:val="51B06B92"/>
    <w:rsid w:val="51B07591"/>
    <w:rsid w:val="51B43002"/>
    <w:rsid w:val="51BB1A11"/>
    <w:rsid w:val="51BC5AC3"/>
    <w:rsid w:val="51BD6C11"/>
    <w:rsid w:val="51C10E74"/>
    <w:rsid w:val="51C14AFB"/>
    <w:rsid w:val="51CE134E"/>
    <w:rsid w:val="51D11A31"/>
    <w:rsid w:val="51D5415B"/>
    <w:rsid w:val="51D733DA"/>
    <w:rsid w:val="51DA58AE"/>
    <w:rsid w:val="51DB1EE3"/>
    <w:rsid w:val="51DC2BA6"/>
    <w:rsid w:val="51DF4444"/>
    <w:rsid w:val="51E5449B"/>
    <w:rsid w:val="51E66508"/>
    <w:rsid w:val="51E847AF"/>
    <w:rsid w:val="51EA7907"/>
    <w:rsid w:val="51ED6B61"/>
    <w:rsid w:val="51F24178"/>
    <w:rsid w:val="52017EFE"/>
    <w:rsid w:val="52065DD5"/>
    <w:rsid w:val="5207755E"/>
    <w:rsid w:val="5208399B"/>
    <w:rsid w:val="52091AC0"/>
    <w:rsid w:val="520D52C2"/>
    <w:rsid w:val="521016CF"/>
    <w:rsid w:val="52132B15"/>
    <w:rsid w:val="521C3630"/>
    <w:rsid w:val="521E5FFD"/>
    <w:rsid w:val="522B486F"/>
    <w:rsid w:val="523F6A8F"/>
    <w:rsid w:val="524450A3"/>
    <w:rsid w:val="52464B12"/>
    <w:rsid w:val="524D4DB2"/>
    <w:rsid w:val="52510CC8"/>
    <w:rsid w:val="52583CBA"/>
    <w:rsid w:val="525941F7"/>
    <w:rsid w:val="525B7583"/>
    <w:rsid w:val="525E23FE"/>
    <w:rsid w:val="52601803"/>
    <w:rsid w:val="52630730"/>
    <w:rsid w:val="526309C7"/>
    <w:rsid w:val="52643FB3"/>
    <w:rsid w:val="52677F96"/>
    <w:rsid w:val="526A01B2"/>
    <w:rsid w:val="526B3916"/>
    <w:rsid w:val="526D4F78"/>
    <w:rsid w:val="5270414C"/>
    <w:rsid w:val="52762C3B"/>
    <w:rsid w:val="52796217"/>
    <w:rsid w:val="527C51B5"/>
    <w:rsid w:val="527D208A"/>
    <w:rsid w:val="52865FAC"/>
    <w:rsid w:val="52872558"/>
    <w:rsid w:val="52897413"/>
    <w:rsid w:val="528E281C"/>
    <w:rsid w:val="529120DA"/>
    <w:rsid w:val="529659FD"/>
    <w:rsid w:val="529F430D"/>
    <w:rsid w:val="52AB24FF"/>
    <w:rsid w:val="52AD2BFD"/>
    <w:rsid w:val="52B224F0"/>
    <w:rsid w:val="52B41228"/>
    <w:rsid w:val="52B41F04"/>
    <w:rsid w:val="52B9272F"/>
    <w:rsid w:val="52C13B4A"/>
    <w:rsid w:val="52C660C9"/>
    <w:rsid w:val="52CF29D7"/>
    <w:rsid w:val="52CF3E41"/>
    <w:rsid w:val="52D42E5E"/>
    <w:rsid w:val="52D76C30"/>
    <w:rsid w:val="52D84DB1"/>
    <w:rsid w:val="52D94139"/>
    <w:rsid w:val="52DB1F8A"/>
    <w:rsid w:val="52E15392"/>
    <w:rsid w:val="52E3567F"/>
    <w:rsid w:val="52E8557B"/>
    <w:rsid w:val="52E934AC"/>
    <w:rsid w:val="52EA5678"/>
    <w:rsid w:val="52EB7ECE"/>
    <w:rsid w:val="52ED06D4"/>
    <w:rsid w:val="52F033ED"/>
    <w:rsid w:val="52F22E01"/>
    <w:rsid w:val="52F60567"/>
    <w:rsid w:val="52FE38B8"/>
    <w:rsid w:val="53001BB3"/>
    <w:rsid w:val="53011A3F"/>
    <w:rsid w:val="530265E4"/>
    <w:rsid w:val="53055DE1"/>
    <w:rsid w:val="530607B8"/>
    <w:rsid w:val="530B0E4B"/>
    <w:rsid w:val="53143779"/>
    <w:rsid w:val="531B3817"/>
    <w:rsid w:val="5325232B"/>
    <w:rsid w:val="53264D65"/>
    <w:rsid w:val="53277E51"/>
    <w:rsid w:val="532920FB"/>
    <w:rsid w:val="532931AC"/>
    <w:rsid w:val="532E0652"/>
    <w:rsid w:val="53303F2B"/>
    <w:rsid w:val="5334431C"/>
    <w:rsid w:val="53346A12"/>
    <w:rsid w:val="533B626E"/>
    <w:rsid w:val="533D0209"/>
    <w:rsid w:val="534555A6"/>
    <w:rsid w:val="534704F3"/>
    <w:rsid w:val="534C43A6"/>
    <w:rsid w:val="534C7AEF"/>
    <w:rsid w:val="53501B3A"/>
    <w:rsid w:val="535B5D4C"/>
    <w:rsid w:val="5367646B"/>
    <w:rsid w:val="536A00F5"/>
    <w:rsid w:val="536E11E4"/>
    <w:rsid w:val="5370162A"/>
    <w:rsid w:val="537514ED"/>
    <w:rsid w:val="53784B50"/>
    <w:rsid w:val="537B019D"/>
    <w:rsid w:val="53815461"/>
    <w:rsid w:val="538452A3"/>
    <w:rsid w:val="538C01FF"/>
    <w:rsid w:val="538E1C7E"/>
    <w:rsid w:val="53915C12"/>
    <w:rsid w:val="539808BD"/>
    <w:rsid w:val="53987838"/>
    <w:rsid w:val="53991FB4"/>
    <w:rsid w:val="53996376"/>
    <w:rsid w:val="539C2622"/>
    <w:rsid w:val="539E0FAF"/>
    <w:rsid w:val="539F11C7"/>
    <w:rsid w:val="53A10E0D"/>
    <w:rsid w:val="53A5521A"/>
    <w:rsid w:val="53AA516E"/>
    <w:rsid w:val="53AB168D"/>
    <w:rsid w:val="53AD1FC2"/>
    <w:rsid w:val="53AE3124"/>
    <w:rsid w:val="53B07B30"/>
    <w:rsid w:val="53B112E7"/>
    <w:rsid w:val="53BA03F0"/>
    <w:rsid w:val="53BE6103"/>
    <w:rsid w:val="53C818BC"/>
    <w:rsid w:val="53CA1255"/>
    <w:rsid w:val="53CA4C80"/>
    <w:rsid w:val="53CD3590"/>
    <w:rsid w:val="53CE5FB2"/>
    <w:rsid w:val="53D32C63"/>
    <w:rsid w:val="53D848DE"/>
    <w:rsid w:val="53D8539B"/>
    <w:rsid w:val="53DA15F6"/>
    <w:rsid w:val="53DE6F83"/>
    <w:rsid w:val="53E17EA9"/>
    <w:rsid w:val="53E53868"/>
    <w:rsid w:val="53E7531C"/>
    <w:rsid w:val="53EB1643"/>
    <w:rsid w:val="53EC2E48"/>
    <w:rsid w:val="53EF3446"/>
    <w:rsid w:val="53F01264"/>
    <w:rsid w:val="53F60260"/>
    <w:rsid w:val="53FB308C"/>
    <w:rsid w:val="53FC0EC4"/>
    <w:rsid w:val="53FD1729"/>
    <w:rsid w:val="53FD5056"/>
    <w:rsid w:val="53FD6E04"/>
    <w:rsid w:val="5400395F"/>
    <w:rsid w:val="54040C6F"/>
    <w:rsid w:val="54060FA4"/>
    <w:rsid w:val="54062707"/>
    <w:rsid w:val="540713EF"/>
    <w:rsid w:val="540A755E"/>
    <w:rsid w:val="540D34EB"/>
    <w:rsid w:val="541233D7"/>
    <w:rsid w:val="54132820"/>
    <w:rsid w:val="54136627"/>
    <w:rsid w:val="54180401"/>
    <w:rsid w:val="541C0907"/>
    <w:rsid w:val="541C389D"/>
    <w:rsid w:val="541F29DD"/>
    <w:rsid w:val="541F3A7B"/>
    <w:rsid w:val="542720D3"/>
    <w:rsid w:val="542B1C77"/>
    <w:rsid w:val="542B3971"/>
    <w:rsid w:val="54354594"/>
    <w:rsid w:val="5436296A"/>
    <w:rsid w:val="543736D8"/>
    <w:rsid w:val="54387E3C"/>
    <w:rsid w:val="543D5452"/>
    <w:rsid w:val="54417F66"/>
    <w:rsid w:val="5448592B"/>
    <w:rsid w:val="544A3609"/>
    <w:rsid w:val="544C7BFD"/>
    <w:rsid w:val="545029C2"/>
    <w:rsid w:val="5450301F"/>
    <w:rsid w:val="5450471C"/>
    <w:rsid w:val="54556C40"/>
    <w:rsid w:val="545575B8"/>
    <w:rsid w:val="5459359C"/>
    <w:rsid w:val="545A49CA"/>
    <w:rsid w:val="545B159C"/>
    <w:rsid w:val="546032DF"/>
    <w:rsid w:val="546A0C9D"/>
    <w:rsid w:val="546A3A38"/>
    <w:rsid w:val="54742AC9"/>
    <w:rsid w:val="547651B8"/>
    <w:rsid w:val="547711C1"/>
    <w:rsid w:val="54780EBC"/>
    <w:rsid w:val="547A32AF"/>
    <w:rsid w:val="547F33FC"/>
    <w:rsid w:val="548379B4"/>
    <w:rsid w:val="549001C6"/>
    <w:rsid w:val="54910490"/>
    <w:rsid w:val="54982E63"/>
    <w:rsid w:val="54A036AE"/>
    <w:rsid w:val="54A20BF1"/>
    <w:rsid w:val="54A25B78"/>
    <w:rsid w:val="54B15550"/>
    <w:rsid w:val="54B41F69"/>
    <w:rsid w:val="54B44301"/>
    <w:rsid w:val="54B92A50"/>
    <w:rsid w:val="54C2646B"/>
    <w:rsid w:val="54C45FE0"/>
    <w:rsid w:val="54C53D3A"/>
    <w:rsid w:val="54C55E20"/>
    <w:rsid w:val="54C72B03"/>
    <w:rsid w:val="54CC69D9"/>
    <w:rsid w:val="54CD0339"/>
    <w:rsid w:val="54D007A0"/>
    <w:rsid w:val="54D12A21"/>
    <w:rsid w:val="54D65F23"/>
    <w:rsid w:val="54DF2F31"/>
    <w:rsid w:val="54E16725"/>
    <w:rsid w:val="54E2012F"/>
    <w:rsid w:val="54E57FC4"/>
    <w:rsid w:val="54E94703"/>
    <w:rsid w:val="54EA17CF"/>
    <w:rsid w:val="54EC71F1"/>
    <w:rsid w:val="54EC78E4"/>
    <w:rsid w:val="54EF0AAE"/>
    <w:rsid w:val="54F05AD2"/>
    <w:rsid w:val="54F77F3B"/>
    <w:rsid w:val="54F8324E"/>
    <w:rsid w:val="54F9507D"/>
    <w:rsid w:val="54FD438D"/>
    <w:rsid w:val="54FD7D3B"/>
    <w:rsid w:val="54FF10C9"/>
    <w:rsid w:val="5503389B"/>
    <w:rsid w:val="5505589D"/>
    <w:rsid w:val="55090AE5"/>
    <w:rsid w:val="550921EF"/>
    <w:rsid w:val="550B4B63"/>
    <w:rsid w:val="550C2554"/>
    <w:rsid w:val="551038BC"/>
    <w:rsid w:val="5518442B"/>
    <w:rsid w:val="552611B1"/>
    <w:rsid w:val="5527091F"/>
    <w:rsid w:val="55280537"/>
    <w:rsid w:val="552D7F72"/>
    <w:rsid w:val="552F123F"/>
    <w:rsid w:val="553271D3"/>
    <w:rsid w:val="55391D2A"/>
    <w:rsid w:val="5543566F"/>
    <w:rsid w:val="55496DEC"/>
    <w:rsid w:val="554A6079"/>
    <w:rsid w:val="554B700A"/>
    <w:rsid w:val="554E2EFB"/>
    <w:rsid w:val="554F2666"/>
    <w:rsid w:val="555111B5"/>
    <w:rsid w:val="55564A1D"/>
    <w:rsid w:val="5556678D"/>
    <w:rsid w:val="55591795"/>
    <w:rsid w:val="55591DC6"/>
    <w:rsid w:val="555C29F5"/>
    <w:rsid w:val="555E60BF"/>
    <w:rsid w:val="55600ECB"/>
    <w:rsid w:val="556829A3"/>
    <w:rsid w:val="556C60B3"/>
    <w:rsid w:val="556E0F24"/>
    <w:rsid w:val="55754E2B"/>
    <w:rsid w:val="55765492"/>
    <w:rsid w:val="557813BB"/>
    <w:rsid w:val="55790B96"/>
    <w:rsid w:val="558B13F4"/>
    <w:rsid w:val="558F1BF0"/>
    <w:rsid w:val="55945D37"/>
    <w:rsid w:val="559C06D5"/>
    <w:rsid w:val="559C7681"/>
    <w:rsid w:val="55A03EEB"/>
    <w:rsid w:val="55A33F58"/>
    <w:rsid w:val="55A51501"/>
    <w:rsid w:val="55AA0F8C"/>
    <w:rsid w:val="55AA5633"/>
    <w:rsid w:val="55B038A7"/>
    <w:rsid w:val="55B115A2"/>
    <w:rsid w:val="55B300C2"/>
    <w:rsid w:val="55B41744"/>
    <w:rsid w:val="55BE5B7F"/>
    <w:rsid w:val="55C87E5B"/>
    <w:rsid w:val="55C93441"/>
    <w:rsid w:val="55CD5E8D"/>
    <w:rsid w:val="55D26CCF"/>
    <w:rsid w:val="55DB4561"/>
    <w:rsid w:val="55DE0692"/>
    <w:rsid w:val="55DE5AA4"/>
    <w:rsid w:val="55E1160F"/>
    <w:rsid w:val="55E40087"/>
    <w:rsid w:val="55E54B88"/>
    <w:rsid w:val="55E83185"/>
    <w:rsid w:val="55EB1F25"/>
    <w:rsid w:val="55ED231A"/>
    <w:rsid w:val="55F14746"/>
    <w:rsid w:val="55F66200"/>
    <w:rsid w:val="55FD51D3"/>
    <w:rsid w:val="560234DB"/>
    <w:rsid w:val="56037DAB"/>
    <w:rsid w:val="56064695"/>
    <w:rsid w:val="56066443"/>
    <w:rsid w:val="560C1580"/>
    <w:rsid w:val="56116563"/>
    <w:rsid w:val="561D3BDC"/>
    <w:rsid w:val="561F58ED"/>
    <w:rsid w:val="56242D6E"/>
    <w:rsid w:val="562514BF"/>
    <w:rsid w:val="5625322F"/>
    <w:rsid w:val="56292132"/>
    <w:rsid w:val="562B1A63"/>
    <w:rsid w:val="562D525A"/>
    <w:rsid w:val="563C00B7"/>
    <w:rsid w:val="563E52B4"/>
    <w:rsid w:val="563E5AB2"/>
    <w:rsid w:val="5640122A"/>
    <w:rsid w:val="56407BA6"/>
    <w:rsid w:val="5646208C"/>
    <w:rsid w:val="56467D4A"/>
    <w:rsid w:val="564C522B"/>
    <w:rsid w:val="564E1F89"/>
    <w:rsid w:val="56535401"/>
    <w:rsid w:val="565A2C86"/>
    <w:rsid w:val="565A31DA"/>
    <w:rsid w:val="565E627F"/>
    <w:rsid w:val="56642809"/>
    <w:rsid w:val="56667550"/>
    <w:rsid w:val="566E0EBF"/>
    <w:rsid w:val="56717635"/>
    <w:rsid w:val="567C04B4"/>
    <w:rsid w:val="567C6182"/>
    <w:rsid w:val="567E74DD"/>
    <w:rsid w:val="56820B96"/>
    <w:rsid w:val="568455BA"/>
    <w:rsid w:val="568941E7"/>
    <w:rsid w:val="56950B50"/>
    <w:rsid w:val="56974290"/>
    <w:rsid w:val="56A501F8"/>
    <w:rsid w:val="56A66AE5"/>
    <w:rsid w:val="56A8115B"/>
    <w:rsid w:val="56A959BB"/>
    <w:rsid w:val="56AF7CCD"/>
    <w:rsid w:val="56B153C0"/>
    <w:rsid w:val="56B365A8"/>
    <w:rsid w:val="56B85FEE"/>
    <w:rsid w:val="56BB4490"/>
    <w:rsid w:val="56BC2FA6"/>
    <w:rsid w:val="56BE6D1E"/>
    <w:rsid w:val="56C055FC"/>
    <w:rsid w:val="56C35EF2"/>
    <w:rsid w:val="56C4168A"/>
    <w:rsid w:val="56C451F9"/>
    <w:rsid w:val="56CC638C"/>
    <w:rsid w:val="56CD6F61"/>
    <w:rsid w:val="56D3410E"/>
    <w:rsid w:val="56D51BC3"/>
    <w:rsid w:val="56DB67A7"/>
    <w:rsid w:val="56E438E6"/>
    <w:rsid w:val="56E952B6"/>
    <w:rsid w:val="56ED1B6A"/>
    <w:rsid w:val="56F00E30"/>
    <w:rsid w:val="56F53615"/>
    <w:rsid w:val="56F91B04"/>
    <w:rsid w:val="56FB146A"/>
    <w:rsid w:val="56FE6C32"/>
    <w:rsid w:val="57030D27"/>
    <w:rsid w:val="57050993"/>
    <w:rsid w:val="570908B6"/>
    <w:rsid w:val="570914EF"/>
    <w:rsid w:val="570A2C48"/>
    <w:rsid w:val="570D273C"/>
    <w:rsid w:val="570F30D6"/>
    <w:rsid w:val="571132F2"/>
    <w:rsid w:val="571921A6"/>
    <w:rsid w:val="57270A13"/>
    <w:rsid w:val="572B4C89"/>
    <w:rsid w:val="572E7A59"/>
    <w:rsid w:val="57342B3C"/>
    <w:rsid w:val="573518D3"/>
    <w:rsid w:val="57355064"/>
    <w:rsid w:val="57372625"/>
    <w:rsid w:val="573B036F"/>
    <w:rsid w:val="573C19D3"/>
    <w:rsid w:val="574035EE"/>
    <w:rsid w:val="57411336"/>
    <w:rsid w:val="57490B9C"/>
    <w:rsid w:val="574C50B5"/>
    <w:rsid w:val="57501DED"/>
    <w:rsid w:val="57574A7D"/>
    <w:rsid w:val="57605DC5"/>
    <w:rsid w:val="57622A79"/>
    <w:rsid w:val="57625050"/>
    <w:rsid w:val="57634140"/>
    <w:rsid w:val="576524BB"/>
    <w:rsid w:val="57664CC0"/>
    <w:rsid w:val="577A07B5"/>
    <w:rsid w:val="577F5FA9"/>
    <w:rsid w:val="577F68C1"/>
    <w:rsid w:val="577F6D27"/>
    <w:rsid w:val="57803FD4"/>
    <w:rsid w:val="57812F5F"/>
    <w:rsid w:val="5782696F"/>
    <w:rsid w:val="57857E51"/>
    <w:rsid w:val="578A6326"/>
    <w:rsid w:val="57923796"/>
    <w:rsid w:val="57934913"/>
    <w:rsid w:val="57983F8D"/>
    <w:rsid w:val="57992637"/>
    <w:rsid w:val="57A001D2"/>
    <w:rsid w:val="57A1552E"/>
    <w:rsid w:val="57A1557A"/>
    <w:rsid w:val="57A41BF3"/>
    <w:rsid w:val="57B0502D"/>
    <w:rsid w:val="57B77283"/>
    <w:rsid w:val="57BE1B02"/>
    <w:rsid w:val="57C24C91"/>
    <w:rsid w:val="57C85FCD"/>
    <w:rsid w:val="57C91D3E"/>
    <w:rsid w:val="57C92968"/>
    <w:rsid w:val="57CB6747"/>
    <w:rsid w:val="57D04AAE"/>
    <w:rsid w:val="57D32AB5"/>
    <w:rsid w:val="57D64B57"/>
    <w:rsid w:val="57D65532"/>
    <w:rsid w:val="57E92226"/>
    <w:rsid w:val="57E93212"/>
    <w:rsid w:val="57EC3417"/>
    <w:rsid w:val="57EE6662"/>
    <w:rsid w:val="57F44BB0"/>
    <w:rsid w:val="57F715EE"/>
    <w:rsid w:val="57FA7011"/>
    <w:rsid w:val="57FB5BFD"/>
    <w:rsid w:val="57FC57BD"/>
    <w:rsid w:val="57FD68F4"/>
    <w:rsid w:val="57FF6155"/>
    <w:rsid w:val="580140A6"/>
    <w:rsid w:val="5809281C"/>
    <w:rsid w:val="580B6E3C"/>
    <w:rsid w:val="580C1C8E"/>
    <w:rsid w:val="580C6FE8"/>
    <w:rsid w:val="580D3C1C"/>
    <w:rsid w:val="58120B37"/>
    <w:rsid w:val="581E62DD"/>
    <w:rsid w:val="58247055"/>
    <w:rsid w:val="58291B84"/>
    <w:rsid w:val="58305016"/>
    <w:rsid w:val="583152CE"/>
    <w:rsid w:val="583220CE"/>
    <w:rsid w:val="58331046"/>
    <w:rsid w:val="58342026"/>
    <w:rsid w:val="58352DE6"/>
    <w:rsid w:val="583A23D4"/>
    <w:rsid w:val="583D3163"/>
    <w:rsid w:val="584E5E80"/>
    <w:rsid w:val="584E7A4D"/>
    <w:rsid w:val="585573F6"/>
    <w:rsid w:val="585673E9"/>
    <w:rsid w:val="585A65D3"/>
    <w:rsid w:val="585B059D"/>
    <w:rsid w:val="585C7B06"/>
    <w:rsid w:val="5866692B"/>
    <w:rsid w:val="586C3CC6"/>
    <w:rsid w:val="586F7C2F"/>
    <w:rsid w:val="58761BFE"/>
    <w:rsid w:val="58783CFA"/>
    <w:rsid w:val="587845C9"/>
    <w:rsid w:val="58876CDB"/>
    <w:rsid w:val="58901BC2"/>
    <w:rsid w:val="58951088"/>
    <w:rsid w:val="589870FB"/>
    <w:rsid w:val="58990FC0"/>
    <w:rsid w:val="589C3085"/>
    <w:rsid w:val="58A12453"/>
    <w:rsid w:val="58A14C54"/>
    <w:rsid w:val="58A64233"/>
    <w:rsid w:val="58AA5D52"/>
    <w:rsid w:val="58B13452"/>
    <w:rsid w:val="58B55EFF"/>
    <w:rsid w:val="58BB3DC0"/>
    <w:rsid w:val="58BD4010"/>
    <w:rsid w:val="58BE3005"/>
    <w:rsid w:val="58CB4071"/>
    <w:rsid w:val="58D95B4A"/>
    <w:rsid w:val="58DE7B7E"/>
    <w:rsid w:val="58E236F3"/>
    <w:rsid w:val="58E83E5E"/>
    <w:rsid w:val="58FF53CC"/>
    <w:rsid w:val="59017396"/>
    <w:rsid w:val="5906051B"/>
    <w:rsid w:val="5906339C"/>
    <w:rsid w:val="590C2C4C"/>
    <w:rsid w:val="59131292"/>
    <w:rsid w:val="59135B55"/>
    <w:rsid w:val="59153798"/>
    <w:rsid w:val="59232A72"/>
    <w:rsid w:val="592D4A6E"/>
    <w:rsid w:val="592F6715"/>
    <w:rsid w:val="593212FE"/>
    <w:rsid w:val="593964A1"/>
    <w:rsid w:val="593B3B47"/>
    <w:rsid w:val="59401C6C"/>
    <w:rsid w:val="59423F6D"/>
    <w:rsid w:val="5942577F"/>
    <w:rsid w:val="59456A20"/>
    <w:rsid w:val="594953B7"/>
    <w:rsid w:val="594F2E37"/>
    <w:rsid w:val="59506971"/>
    <w:rsid w:val="5957491D"/>
    <w:rsid w:val="595B3690"/>
    <w:rsid w:val="5963115F"/>
    <w:rsid w:val="59662975"/>
    <w:rsid w:val="59682F71"/>
    <w:rsid w:val="5969369E"/>
    <w:rsid w:val="596A0C5D"/>
    <w:rsid w:val="596C2D00"/>
    <w:rsid w:val="596F44B8"/>
    <w:rsid w:val="596F61FA"/>
    <w:rsid w:val="59875576"/>
    <w:rsid w:val="59877F69"/>
    <w:rsid w:val="598F04FE"/>
    <w:rsid w:val="59903B9E"/>
    <w:rsid w:val="5991071A"/>
    <w:rsid w:val="59923643"/>
    <w:rsid w:val="59924FF5"/>
    <w:rsid w:val="5994436D"/>
    <w:rsid w:val="599A2BD6"/>
    <w:rsid w:val="59A74A2E"/>
    <w:rsid w:val="59AD7B08"/>
    <w:rsid w:val="59AF277F"/>
    <w:rsid w:val="59B56492"/>
    <w:rsid w:val="59BB2ACA"/>
    <w:rsid w:val="59BC3568"/>
    <w:rsid w:val="59BD607F"/>
    <w:rsid w:val="59C35ACF"/>
    <w:rsid w:val="59C44115"/>
    <w:rsid w:val="59CC3500"/>
    <w:rsid w:val="59D00092"/>
    <w:rsid w:val="59D66A19"/>
    <w:rsid w:val="59D7753C"/>
    <w:rsid w:val="59D9147E"/>
    <w:rsid w:val="59E85E60"/>
    <w:rsid w:val="59E8725B"/>
    <w:rsid w:val="59F42A57"/>
    <w:rsid w:val="59F658D0"/>
    <w:rsid w:val="59F82547"/>
    <w:rsid w:val="5A0170B3"/>
    <w:rsid w:val="5A02182B"/>
    <w:rsid w:val="5A0633CF"/>
    <w:rsid w:val="5A0903C9"/>
    <w:rsid w:val="5A0D509A"/>
    <w:rsid w:val="5A0E4C2F"/>
    <w:rsid w:val="5A116145"/>
    <w:rsid w:val="5A121A9D"/>
    <w:rsid w:val="5A140578"/>
    <w:rsid w:val="5A1768D4"/>
    <w:rsid w:val="5A180A3A"/>
    <w:rsid w:val="5A1924BD"/>
    <w:rsid w:val="5A1A4E69"/>
    <w:rsid w:val="5A2400DF"/>
    <w:rsid w:val="5A311EF2"/>
    <w:rsid w:val="5A3D38EF"/>
    <w:rsid w:val="5A3D3D89"/>
    <w:rsid w:val="5A3D42DE"/>
    <w:rsid w:val="5A4312E0"/>
    <w:rsid w:val="5A444794"/>
    <w:rsid w:val="5A4802BF"/>
    <w:rsid w:val="5A4C7D25"/>
    <w:rsid w:val="5A533A0A"/>
    <w:rsid w:val="5A551986"/>
    <w:rsid w:val="5A552EDD"/>
    <w:rsid w:val="5A557127"/>
    <w:rsid w:val="5A5810F3"/>
    <w:rsid w:val="5A587672"/>
    <w:rsid w:val="5A5961EF"/>
    <w:rsid w:val="5A625492"/>
    <w:rsid w:val="5A643AC8"/>
    <w:rsid w:val="5A64740A"/>
    <w:rsid w:val="5A664CCE"/>
    <w:rsid w:val="5A6F000D"/>
    <w:rsid w:val="5A706AAD"/>
    <w:rsid w:val="5A746011"/>
    <w:rsid w:val="5A76641A"/>
    <w:rsid w:val="5A821C67"/>
    <w:rsid w:val="5A873973"/>
    <w:rsid w:val="5A8A5E83"/>
    <w:rsid w:val="5A902780"/>
    <w:rsid w:val="5A912D68"/>
    <w:rsid w:val="5A9330C3"/>
    <w:rsid w:val="5A9860AF"/>
    <w:rsid w:val="5A990E50"/>
    <w:rsid w:val="5A9D30EE"/>
    <w:rsid w:val="5AA20ED6"/>
    <w:rsid w:val="5AA63641"/>
    <w:rsid w:val="5AA708CA"/>
    <w:rsid w:val="5AA955EF"/>
    <w:rsid w:val="5AAC551A"/>
    <w:rsid w:val="5AAE4AE5"/>
    <w:rsid w:val="5AAF40C7"/>
    <w:rsid w:val="5AB37F0E"/>
    <w:rsid w:val="5AB521E6"/>
    <w:rsid w:val="5AB558BB"/>
    <w:rsid w:val="5AB9705D"/>
    <w:rsid w:val="5AC77EF9"/>
    <w:rsid w:val="5AE1122D"/>
    <w:rsid w:val="5AE363FD"/>
    <w:rsid w:val="5AEE535F"/>
    <w:rsid w:val="5AF17F45"/>
    <w:rsid w:val="5AF26392"/>
    <w:rsid w:val="5AF54ABD"/>
    <w:rsid w:val="5AF8223A"/>
    <w:rsid w:val="5AFD5309"/>
    <w:rsid w:val="5AFF16B3"/>
    <w:rsid w:val="5B0977E6"/>
    <w:rsid w:val="5B0C4CA2"/>
    <w:rsid w:val="5B117512"/>
    <w:rsid w:val="5B1A029B"/>
    <w:rsid w:val="5B1F296D"/>
    <w:rsid w:val="5B20057F"/>
    <w:rsid w:val="5B204F54"/>
    <w:rsid w:val="5B2561D1"/>
    <w:rsid w:val="5B2A28AF"/>
    <w:rsid w:val="5B2B1926"/>
    <w:rsid w:val="5B2D4026"/>
    <w:rsid w:val="5B2E155A"/>
    <w:rsid w:val="5B34038F"/>
    <w:rsid w:val="5B353868"/>
    <w:rsid w:val="5B3B4BE1"/>
    <w:rsid w:val="5B3B7CC5"/>
    <w:rsid w:val="5B3E6680"/>
    <w:rsid w:val="5B4A6C9F"/>
    <w:rsid w:val="5B4F6FAF"/>
    <w:rsid w:val="5B5163B3"/>
    <w:rsid w:val="5B55211D"/>
    <w:rsid w:val="5B5C08B4"/>
    <w:rsid w:val="5B5C1B01"/>
    <w:rsid w:val="5B5E6F93"/>
    <w:rsid w:val="5B6160B4"/>
    <w:rsid w:val="5B6503CD"/>
    <w:rsid w:val="5B650996"/>
    <w:rsid w:val="5B691244"/>
    <w:rsid w:val="5B6F2330"/>
    <w:rsid w:val="5B7C1860"/>
    <w:rsid w:val="5B7F50BF"/>
    <w:rsid w:val="5B867F38"/>
    <w:rsid w:val="5B9067AF"/>
    <w:rsid w:val="5B9207A8"/>
    <w:rsid w:val="5B94004E"/>
    <w:rsid w:val="5B9D16B1"/>
    <w:rsid w:val="5B9F7DAC"/>
    <w:rsid w:val="5BAF6C35"/>
    <w:rsid w:val="5BB11A8A"/>
    <w:rsid w:val="5BB77E50"/>
    <w:rsid w:val="5BBB37E1"/>
    <w:rsid w:val="5BBB3896"/>
    <w:rsid w:val="5BBF1064"/>
    <w:rsid w:val="5BC37DB6"/>
    <w:rsid w:val="5BC37E56"/>
    <w:rsid w:val="5BD07DD6"/>
    <w:rsid w:val="5BD24C1E"/>
    <w:rsid w:val="5BD91F04"/>
    <w:rsid w:val="5BD937E8"/>
    <w:rsid w:val="5BE16D18"/>
    <w:rsid w:val="5BF00BF9"/>
    <w:rsid w:val="5BF64828"/>
    <w:rsid w:val="5BFE196B"/>
    <w:rsid w:val="5C037E45"/>
    <w:rsid w:val="5C0553DC"/>
    <w:rsid w:val="5C070238"/>
    <w:rsid w:val="5C111495"/>
    <w:rsid w:val="5C165947"/>
    <w:rsid w:val="5C1661A5"/>
    <w:rsid w:val="5C1739FF"/>
    <w:rsid w:val="5C186ED1"/>
    <w:rsid w:val="5C1A2DD6"/>
    <w:rsid w:val="5C1C14C5"/>
    <w:rsid w:val="5C203518"/>
    <w:rsid w:val="5C323D5A"/>
    <w:rsid w:val="5C3405B2"/>
    <w:rsid w:val="5C361105"/>
    <w:rsid w:val="5C3D048F"/>
    <w:rsid w:val="5C3E4B32"/>
    <w:rsid w:val="5C452B17"/>
    <w:rsid w:val="5C4863C1"/>
    <w:rsid w:val="5C487AAD"/>
    <w:rsid w:val="5C544D04"/>
    <w:rsid w:val="5C5872CD"/>
    <w:rsid w:val="5C61437B"/>
    <w:rsid w:val="5C642116"/>
    <w:rsid w:val="5C6C3BBC"/>
    <w:rsid w:val="5C6C3BD8"/>
    <w:rsid w:val="5C7165E1"/>
    <w:rsid w:val="5C776406"/>
    <w:rsid w:val="5C7E4751"/>
    <w:rsid w:val="5C82259C"/>
    <w:rsid w:val="5C8429AC"/>
    <w:rsid w:val="5C850AA6"/>
    <w:rsid w:val="5C860916"/>
    <w:rsid w:val="5C885D49"/>
    <w:rsid w:val="5C8C06C1"/>
    <w:rsid w:val="5C8F1170"/>
    <w:rsid w:val="5C992D62"/>
    <w:rsid w:val="5C993776"/>
    <w:rsid w:val="5CA01D3B"/>
    <w:rsid w:val="5CA14648"/>
    <w:rsid w:val="5CB02287"/>
    <w:rsid w:val="5CB423AB"/>
    <w:rsid w:val="5CB55948"/>
    <w:rsid w:val="5CB6146B"/>
    <w:rsid w:val="5CBC3D00"/>
    <w:rsid w:val="5CC101EF"/>
    <w:rsid w:val="5CC24B59"/>
    <w:rsid w:val="5CCB0E45"/>
    <w:rsid w:val="5CCC5196"/>
    <w:rsid w:val="5CCF1899"/>
    <w:rsid w:val="5CD7181B"/>
    <w:rsid w:val="5CDB1524"/>
    <w:rsid w:val="5CDF5473"/>
    <w:rsid w:val="5CE478AD"/>
    <w:rsid w:val="5CE53B50"/>
    <w:rsid w:val="5CE85C91"/>
    <w:rsid w:val="5CE86BC5"/>
    <w:rsid w:val="5CEC135C"/>
    <w:rsid w:val="5CEC53A5"/>
    <w:rsid w:val="5CF44D5B"/>
    <w:rsid w:val="5CF71428"/>
    <w:rsid w:val="5CF76FF4"/>
    <w:rsid w:val="5CFD1C22"/>
    <w:rsid w:val="5D007836"/>
    <w:rsid w:val="5D0122A8"/>
    <w:rsid w:val="5D15701B"/>
    <w:rsid w:val="5D1773C9"/>
    <w:rsid w:val="5D1F428A"/>
    <w:rsid w:val="5D223E72"/>
    <w:rsid w:val="5D2E5F5D"/>
    <w:rsid w:val="5D34149D"/>
    <w:rsid w:val="5D3B5726"/>
    <w:rsid w:val="5D4601B1"/>
    <w:rsid w:val="5D494DBC"/>
    <w:rsid w:val="5D4A265D"/>
    <w:rsid w:val="5D4B34BD"/>
    <w:rsid w:val="5D5050F7"/>
    <w:rsid w:val="5D535FE2"/>
    <w:rsid w:val="5D55588E"/>
    <w:rsid w:val="5D5723E7"/>
    <w:rsid w:val="5D5A0839"/>
    <w:rsid w:val="5D5C0057"/>
    <w:rsid w:val="5D630D7B"/>
    <w:rsid w:val="5D703A41"/>
    <w:rsid w:val="5D735CD6"/>
    <w:rsid w:val="5D7873F0"/>
    <w:rsid w:val="5D7A5CAC"/>
    <w:rsid w:val="5D7B0085"/>
    <w:rsid w:val="5D7B50D7"/>
    <w:rsid w:val="5D7E75E3"/>
    <w:rsid w:val="5D811B5C"/>
    <w:rsid w:val="5D845EA0"/>
    <w:rsid w:val="5D893FCF"/>
    <w:rsid w:val="5D8D1664"/>
    <w:rsid w:val="5D8F19B7"/>
    <w:rsid w:val="5D8F6D1E"/>
    <w:rsid w:val="5D92352D"/>
    <w:rsid w:val="5D977EE5"/>
    <w:rsid w:val="5D9C58DF"/>
    <w:rsid w:val="5DA6050C"/>
    <w:rsid w:val="5DAB27C9"/>
    <w:rsid w:val="5DAF2433"/>
    <w:rsid w:val="5DB05ED7"/>
    <w:rsid w:val="5DB206D3"/>
    <w:rsid w:val="5DB46EC8"/>
    <w:rsid w:val="5DB53F80"/>
    <w:rsid w:val="5DC95E33"/>
    <w:rsid w:val="5DCB6A18"/>
    <w:rsid w:val="5DD143B1"/>
    <w:rsid w:val="5DD1503B"/>
    <w:rsid w:val="5DD371C8"/>
    <w:rsid w:val="5DDB01B6"/>
    <w:rsid w:val="5DE06536"/>
    <w:rsid w:val="5DE2350B"/>
    <w:rsid w:val="5DF06923"/>
    <w:rsid w:val="5DF62164"/>
    <w:rsid w:val="5DF84E51"/>
    <w:rsid w:val="5DFD1EE2"/>
    <w:rsid w:val="5E01777C"/>
    <w:rsid w:val="5E03619E"/>
    <w:rsid w:val="5E0A0A9B"/>
    <w:rsid w:val="5E0C339D"/>
    <w:rsid w:val="5E0E2A29"/>
    <w:rsid w:val="5E0E3C30"/>
    <w:rsid w:val="5E12502D"/>
    <w:rsid w:val="5E135BA1"/>
    <w:rsid w:val="5E147D13"/>
    <w:rsid w:val="5E16194F"/>
    <w:rsid w:val="5E192A8C"/>
    <w:rsid w:val="5E1F4947"/>
    <w:rsid w:val="5E263E82"/>
    <w:rsid w:val="5E2A4C99"/>
    <w:rsid w:val="5E2B3B29"/>
    <w:rsid w:val="5E3245D8"/>
    <w:rsid w:val="5E332019"/>
    <w:rsid w:val="5E353A43"/>
    <w:rsid w:val="5E3564A3"/>
    <w:rsid w:val="5E39617D"/>
    <w:rsid w:val="5E4A533B"/>
    <w:rsid w:val="5E5A73BB"/>
    <w:rsid w:val="5E5D1AF4"/>
    <w:rsid w:val="5E5D7076"/>
    <w:rsid w:val="5E622685"/>
    <w:rsid w:val="5E6572A9"/>
    <w:rsid w:val="5E6F4588"/>
    <w:rsid w:val="5E7128C8"/>
    <w:rsid w:val="5E743768"/>
    <w:rsid w:val="5E790CA0"/>
    <w:rsid w:val="5E79177D"/>
    <w:rsid w:val="5E7945FC"/>
    <w:rsid w:val="5E7C6322"/>
    <w:rsid w:val="5E832A8B"/>
    <w:rsid w:val="5E866479"/>
    <w:rsid w:val="5E8B3271"/>
    <w:rsid w:val="5E9077B9"/>
    <w:rsid w:val="5E92177F"/>
    <w:rsid w:val="5E930082"/>
    <w:rsid w:val="5EAA116B"/>
    <w:rsid w:val="5EB351E3"/>
    <w:rsid w:val="5EB6009E"/>
    <w:rsid w:val="5EBF459F"/>
    <w:rsid w:val="5ECB1232"/>
    <w:rsid w:val="5ECB5E0F"/>
    <w:rsid w:val="5ECF22A5"/>
    <w:rsid w:val="5ED32946"/>
    <w:rsid w:val="5ED53B61"/>
    <w:rsid w:val="5ED94D4C"/>
    <w:rsid w:val="5EDE746E"/>
    <w:rsid w:val="5EE278D0"/>
    <w:rsid w:val="5EE91DD3"/>
    <w:rsid w:val="5EE92F44"/>
    <w:rsid w:val="5EEA3F0C"/>
    <w:rsid w:val="5EFC46DB"/>
    <w:rsid w:val="5F031672"/>
    <w:rsid w:val="5F0627E3"/>
    <w:rsid w:val="5F087F3E"/>
    <w:rsid w:val="5F0E22EC"/>
    <w:rsid w:val="5F0E5841"/>
    <w:rsid w:val="5F0E7AA1"/>
    <w:rsid w:val="5F1A7C3C"/>
    <w:rsid w:val="5F1B0545"/>
    <w:rsid w:val="5F2022F1"/>
    <w:rsid w:val="5F224B1B"/>
    <w:rsid w:val="5F2E5A95"/>
    <w:rsid w:val="5F323EBD"/>
    <w:rsid w:val="5F4A0903"/>
    <w:rsid w:val="5F4A0E24"/>
    <w:rsid w:val="5F4C162A"/>
    <w:rsid w:val="5F4E5EBD"/>
    <w:rsid w:val="5F593740"/>
    <w:rsid w:val="5F593A88"/>
    <w:rsid w:val="5F5D2E4C"/>
    <w:rsid w:val="5F631F2A"/>
    <w:rsid w:val="5F641B90"/>
    <w:rsid w:val="5F6A7470"/>
    <w:rsid w:val="5F701D7B"/>
    <w:rsid w:val="5F717479"/>
    <w:rsid w:val="5F727FC6"/>
    <w:rsid w:val="5F7D0CEC"/>
    <w:rsid w:val="5F85487D"/>
    <w:rsid w:val="5F862BEB"/>
    <w:rsid w:val="5F884A07"/>
    <w:rsid w:val="5F89195D"/>
    <w:rsid w:val="5F8F0B9F"/>
    <w:rsid w:val="5F9A74BF"/>
    <w:rsid w:val="5FA24E2B"/>
    <w:rsid w:val="5FA91308"/>
    <w:rsid w:val="5FB15A0A"/>
    <w:rsid w:val="5FB200C7"/>
    <w:rsid w:val="5FBE789B"/>
    <w:rsid w:val="5FC32714"/>
    <w:rsid w:val="5FC469D3"/>
    <w:rsid w:val="5FCA4ED2"/>
    <w:rsid w:val="5FD2539A"/>
    <w:rsid w:val="5FD255E8"/>
    <w:rsid w:val="5FD862BD"/>
    <w:rsid w:val="5FD97F4B"/>
    <w:rsid w:val="5FDC76C8"/>
    <w:rsid w:val="5FDD0F28"/>
    <w:rsid w:val="5FE125D9"/>
    <w:rsid w:val="5FE12E56"/>
    <w:rsid w:val="5FE4503A"/>
    <w:rsid w:val="5FE64912"/>
    <w:rsid w:val="5FF331E0"/>
    <w:rsid w:val="5FF623A7"/>
    <w:rsid w:val="5FF82A8C"/>
    <w:rsid w:val="5FF90D94"/>
    <w:rsid w:val="5FFB3C90"/>
    <w:rsid w:val="5FFD046B"/>
    <w:rsid w:val="60053101"/>
    <w:rsid w:val="60085D90"/>
    <w:rsid w:val="60094BC3"/>
    <w:rsid w:val="60116111"/>
    <w:rsid w:val="60144F61"/>
    <w:rsid w:val="60146EA0"/>
    <w:rsid w:val="601577B9"/>
    <w:rsid w:val="601C7F66"/>
    <w:rsid w:val="601D4E23"/>
    <w:rsid w:val="60211770"/>
    <w:rsid w:val="60215F78"/>
    <w:rsid w:val="60265BCA"/>
    <w:rsid w:val="60285FA1"/>
    <w:rsid w:val="602C3CDD"/>
    <w:rsid w:val="60363DC9"/>
    <w:rsid w:val="603A2B07"/>
    <w:rsid w:val="603A50B3"/>
    <w:rsid w:val="6043282E"/>
    <w:rsid w:val="60441BE8"/>
    <w:rsid w:val="60487659"/>
    <w:rsid w:val="60540B1B"/>
    <w:rsid w:val="6054527B"/>
    <w:rsid w:val="60591866"/>
    <w:rsid w:val="60595B9F"/>
    <w:rsid w:val="60622A35"/>
    <w:rsid w:val="6069345E"/>
    <w:rsid w:val="607A5C32"/>
    <w:rsid w:val="607B7A2E"/>
    <w:rsid w:val="607F45F5"/>
    <w:rsid w:val="607F6BA2"/>
    <w:rsid w:val="60835BF0"/>
    <w:rsid w:val="60880A4D"/>
    <w:rsid w:val="60885E60"/>
    <w:rsid w:val="608E4E60"/>
    <w:rsid w:val="608F7C3C"/>
    <w:rsid w:val="609546A5"/>
    <w:rsid w:val="609C54D8"/>
    <w:rsid w:val="60A35595"/>
    <w:rsid w:val="60A42897"/>
    <w:rsid w:val="60A46F85"/>
    <w:rsid w:val="60A652C9"/>
    <w:rsid w:val="60A9540D"/>
    <w:rsid w:val="60AF75A0"/>
    <w:rsid w:val="60B34C56"/>
    <w:rsid w:val="60B3575F"/>
    <w:rsid w:val="60B82A30"/>
    <w:rsid w:val="60BA67A8"/>
    <w:rsid w:val="60BB42CE"/>
    <w:rsid w:val="60BE3971"/>
    <w:rsid w:val="60BF3DBF"/>
    <w:rsid w:val="60C36BAA"/>
    <w:rsid w:val="60C41097"/>
    <w:rsid w:val="60CA1382"/>
    <w:rsid w:val="60CF13A2"/>
    <w:rsid w:val="60CF1B28"/>
    <w:rsid w:val="60D05AEA"/>
    <w:rsid w:val="60D351F3"/>
    <w:rsid w:val="60D94239"/>
    <w:rsid w:val="60D95ACB"/>
    <w:rsid w:val="60DA02C2"/>
    <w:rsid w:val="60DA6828"/>
    <w:rsid w:val="60DC5FD9"/>
    <w:rsid w:val="60DF0B6A"/>
    <w:rsid w:val="60E11472"/>
    <w:rsid w:val="60E471F1"/>
    <w:rsid w:val="60EC36E8"/>
    <w:rsid w:val="60F03883"/>
    <w:rsid w:val="60F600EF"/>
    <w:rsid w:val="60F864F0"/>
    <w:rsid w:val="60FC40AB"/>
    <w:rsid w:val="610244AA"/>
    <w:rsid w:val="61091DD5"/>
    <w:rsid w:val="610F698F"/>
    <w:rsid w:val="611304E9"/>
    <w:rsid w:val="61186287"/>
    <w:rsid w:val="612079FB"/>
    <w:rsid w:val="612167D8"/>
    <w:rsid w:val="61224752"/>
    <w:rsid w:val="61271031"/>
    <w:rsid w:val="612B10A9"/>
    <w:rsid w:val="613045F7"/>
    <w:rsid w:val="61323E7D"/>
    <w:rsid w:val="6145645F"/>
    <w:rsid w:val="614A68F9"/>
    <w:rsid w:val="614B50C1"/>
    <w:rsid w:val="614D07F9"/>
    <w:rsid w:val="61517443"/>
    <w:rsid w:val="616139C8"/>
    <w:rsid w:val="61684B1F"/>
    <w:rsid w:val="616B48FA"/>
    <w:rsid w:val="616F5BBC"/>
    <w:rsid w:val="61705093"/>
    <w:rsid w:val="61750468"/>
    <w:rsid w:val="61761D0A"/>
    <w:rsid w:val="61820F7B"/>
    <w:rsid w:val="6182233B"/>
    <w:rsid w:val="618F5E5F"/>
    <w:rsid w:val="619A2136"/>
    <w:rsid w:val="619B49C8"/>
    <w:rsid w:val="61A23989"/>
    <w:rsid w:val="61A7126A"/>
    <w:rsid w:val="61B00A1E"/>
    <w:rsid w:val="61C06B4A"/>
    <w:rsid w:val="61C204D1"/>
    <w:rsid w:val="61C44FB6"/>
    <w:rsid w:val="61C97E28"/>
    <w:rsid w:val="61CA606C"/>
    <w:rsid w:val="61CB08BD"/>
    <w:rsid w:val="61CB22EF"/>
    <w:rsid w:val="61D22910"/>
    <w:rsid w:val="61D879B9"/>
    <w:rsid w:val="61D94AC0"/>
    <w:rsid w:val="61DB4C28"/>
    <w:rsid w:val="61DE243F"/>
    <w:rsid w:val="61E272EB"/>
    <w:rsid w:val="61E57F28"/>
    <w:rsid w:val="61EA4E6B"/>
    <w:rsid w:val="61EB205E"/>
    <w:rsid w:val="61F466F6"/>
    <w:rsid w:val="61F776B3"/>
    <w:rsid w:val="61F81C3A"/>
    <w:rsid w:val="61FE1375"/>
    <w:rsid w:val="62001C33"/>
    <w:rsid w:val="62006316"/>
    <w:rsid w:val="620279F8"/>
    <w:rsid w:val="620873DA"/>
    <w:rsid w:val="620E5129"/>
    <w:rsid w:val="621352DF"/>
    <w:rsid w:val="62144DB7"/>
    <w:rsid w:val="621A1E15"/>
    <w:rsid w:val="621A51B1"/>
    <w:rsid w:val="621B7911"/>
    <w:rsid w:val="621D7BEF"/>
    <w:rsid w:val="622149E2"/>
    <w:rsid w:val="62244482"/>
    <w:rsid w:val="622446F8"/>
    <w:rsid w:val="622C2A0D"/>
    <w:rsid w:val="623065F6"/>
    <w:rsid w:val="623503C6"/>
    <w:rsid w:val="62360CE8"/>
    <w:rsid w:val="6236217E"/>
    <w:rsid w:val="62364403"/>
    <w:rsid w:val="62387CD2"/>
    <w:rsid w:val="623E0D13"/>
    <w:rsid w:val="62436960"/>
    <w:rsid w:val="62481B92"/>
    <w:rsid w:val="624A6E1D"/>
    <w:rsid w:val="624B3430"/>
    <w:rsid w:val="624B7DDA"/>
    <w:rsid w:val="624D4792"/>
    <w:rsid w:val="625B18C5"/>
    <w:rsid w:val="625B5C3E"/>
    <w:rsid w:val="625C6B16"/>
    <w:rsid w:val="625F53CD"/>
    <w:rsid w:val="62604FDE"/>
    <w:rsid w:val="6261344F"/>
    <w:rsid w:val="626252C2"/>
    <w:rsid w:val="627B5880"/>
    <w:rsid w:val="627F5228"/>
    <w:rsid w:val="62842E61"/>
    <w:rsid w:val="628622AD"/>
    <w:rsid w:val="628773F6"/>
    <w:rsid w:val="628950F7"/>
    <w:rsid w:val="62927FE3"/>
    <w:rsid w:val="629302A3"/>
    <w:rsid w:val="6294124F"/>
    <w:rsid w:val="629F5000"/>
    <w:rsid w:val="62A22CA2"/>
    <w:rsid w:val="62A52B40"/>
    <w:rsid w:val="62AB4B55"/>
    <w:rsid w:val="62B15989"/>
    <w:rsid w:val="62B24BE1"/>
    <w:rsid w:val="62B96E86"/>
    <w:rsid w:val="62C051BD"/>
    <w:rsid w:val="62C21705"/>
    <w:rsid w:val="62CC7B9D"/>
    <w:rsid w:val="62CF4061"/>
    <w:rsid w:val="62D17676"/>
    <w:rsid w:val="62D32BA1"/>
    <w:rsid w:val="62D54750"/>
    <w:rsid w:val="62EC317A"/>
    <w:rsid w:val="63025A66"/>
    <w:rsid w:val="63027145"/>
    <w:rsid w:val="63027E85"/>
    <w:rsid w:val="630602F5"/>
    <w:rsid w:val="63075750"/>
    <w:rsid w:val="630E477B"/>
    <w:rsid w:val="63126691"/>
    <w:rsid w:val="63161581"/>
    <w:rsid w:val="631877B6"/>
    <w:rsid w:val="633571CC"/>
    <w:rsid w:val="633730F3"/>
    <w:rsid w:val="633B709F"/>
    <w:rsid w:val="633C4C22"/>
    <w:rsid w:val="634140BD"/>
    <w:rsid w:val="63455CC7"/>
    <w:rsid w:val="63464323"/>
    <w:rsid w:val="6348512C"/>
    <w:rsid w:val="634D0FFB"/>
    <w:rsid w:val="634D4E50"/>
    <w:rsid w:val="634D6D58"/>
    <w:rsid w:val="63587FB8"/>
    <w:rsid w:val="63607B63"/>
    <w:rsid w:val="63615330"/>
    <w:rsid w:val="63635E2F"/>
    <w:rsid w:val="636451F8"/>
    <w:rsid w:val="636A3638"/>
    <w:rsid w:val="636E2187"/>
    <w:rsid w:val="6372606D"/>
    <w:rsid w:val="637500A0"/>
    <w:rsid w:val="637B1E71"/>
    <w:rsid w:val="63831968"/>
    <w:rsid w:val="63864396"/>
    <w:rsid w:val="63884BE0"/>
    <w:rsid w:val="638B06E1"/>
    <w:rsid w:val="63923474"/>
    <w:rsid w:val="63970658"/>
    <w:rsid w:val="639A710C"/>
    <w:rsid w:val="639E7974"/>
    <w:rsid w:val="63A53B36"/>
    <w:rsid w:val="63A86F13"/>
    <w:rsid w:val="63AA6B2C"/>
    <w:rsid w:val="63AC40B1"/>
    <w:rsid w:val="63AC7B01"/>
    <w:rsid w:val="63AD43A2"/>
    <w:rsid w:val="63B069B7"/>
    <w:rsid w:val="63B33920"/>
    <w:rsid w:val="63B52018"/>
    <w:rsid w:val="63B97FD0"/>
    <w:rsid w:val="63BA212F"/>
    <w:rsid w:val="63BB55DA"/>
    <w:rsid w:val="63C536A7"/>
    <w:rsid w:val="63C74D38"/>
    <w:rsid w:val="63C85E2C"/>
    <w:rsid w:val="63D26F65"/>
    <w:rsid w:val="63D47B81"/>
    <w:rsid w:val="63D92960"/>
    <w:rsid w:val="63DE27AE"/>
    <w:rsid w:val="63E13B71"/>
    <w:rsid w:val="63E35F3A"/>
    <w:rsid w:val="63E91B90"/>
    <w:rsid w:val="63EC4F0E"/>
    <w:rsid w:val="63F11413"/>
    <w:rsid w:val="63F12198"/>
    <w:rsid w:val="63F334E7"/>
    <w:rsid w:val="63F84086"/>
    <w:rsid w:val="63FC288F"/>
    <w:rsid w:val="63FE69AC"/>
    <w:rsid w:val="63FF4C2E"/>
    <w:rsid w:val="64026BBB"/>
    <w:rsid w:val="64075D66"/>
    <w:rsid w:val="6416019A"/>
    <w:rsid w:val="6419743D"/>
    <w:rsid w:val="6420379D"/>
    <w:rsid w:val="642D197F"/>
    <w:rsid w:val="642F4DB7"/>
    <w:rsid w:val="6430676A"/>
    <w:rsid w:val="64351649"/>
    <w:rsid w:val="643811A9"/>
    <w:rsid w:val="643B6DF3"/>
    <w:rsid w:val="643E6049"/>
    <w:rsid w:val="64436AB5"/>
    <w:rsid w:val="64505561"/>
    <w:rsid w:val="6451172E"/>
    <w:rsid w:val="645A17BF"/>
    <w:rsid w:val="645B218B"/>
    <w:rsid w:val="645D0F75"/>
    <w:rsid w:val="64630F05"/>
    <w:rsid w:val="64640FD6"/>
    <w:rsid w:val="64667B28"/>
    <w:rsid w:val="646949A2"/>
    <w:rsid w:val="646A0B7C"/>
    <w:rsid w:val="646E6EC8"/>
    <w:rsid w:val="64752152"/>
    <w:rsid w:val="647710BF"/>
    <w:rsid w:val="64791C0F"/>
    <w:rsid w:val="647926B6"/>
    <w:rsid w:val="647A4FD2"/>
    <w:rsid w:val="647F6B9A"/>
    <w:rsid w:val="64802D6E"/>
    <w:rsid w:val="6481537F"/>
    <w:rsid w:val="648209AC"/>
    <w:rsid w:val="648F56C4"/>
    <w:rsid w:val="64921F12"/>
    <w:rsid w:val="649648C4"/>
    <w:rsid w:val="64973009"/>
    <w:rsid w:val="649C135E"/>
    <w:rsid w:val="64A30E44"/>
    <w:rsid w:val="64A37A75"/>
    <w:rsid w:val="64A45340"/>
    <w:rsid w:val="64A5354D"/>
    <w:rsid w:val="64A627C1"/>
    <w:rsid w:val="64AC63B8"/>
    <w:rsid w:val="64AC6408"/>
    <w:rsid w:val="64B004F2"/>
    <w:rsid w:val="64B56841"/>
    <w:rsid w:val="64B61035"/>
    <w:rsid w:val="64B7696A"/>
    <w:rsid w:val="64BC23C3"/>
    <w:rsid w:val="64BF2823"/>
    <w:rsid w:val="64C537A6"/>
    <w:rsid w:val="64D30230"/>
    <w:rsid w:val="64D63E20"/>
    <w:rsid w:val="64D72FAF"/>
    <w:rsid w:val="64D81ED5"/>
    <w:rsid w:val="64D85ADD"/>
    <w:rsid w:val="64DD39E4"/>
    <w:rsid w:val="64E01C49"/>
    <w:rsid w:val="64E45A26"/>
    <w:rsid w:val="64E8140A"/>
    <w:rsid w:val="64F31493"/>
    <w:rsid w:val="64F47DAF"/>
    <w:rsid w:val="64F76E02"/>
    <w:rsid w:val="64FA0716"/>
    <w:rsid w:val="64FB015D"/>
    <w:rsid w:val="64FC60A7"/>
    <w:rsid w:val="65034DED"/>
    <w:rsid w:val="65044496"/>
    <w:rsid w:val="65085608"/>
    <w:rsid w:val="650B4776"/>
    <w:rsid w:val="65182A1E"/>
    <w:rsid w:val="65194470"/>
    <w:rsid w:val="652F1ED5"/>
    <w:rsid w:val="65333907"/>
    <w:rsid w:val="65341AB7"/>
    <w:rsid w:val="6535257A"/>
    <w:rsid w:val="653B271E"/>
    <w:rsid w:val="653D34A1"/>
    <w:rsid w:val="653D3F17"/>
    <w:rsid w:val="654C0A01"/>
    <w:rsid w:val="654C400E"/>
    <w:rsid w:val="654D3603"/>
    <w:rsid w:val="654D7969"/>
    <w:rsid w:val="65586BE3"/>
    <w:rsid w:val="655C6B59"/>
    <w:rsid w:val="655D369B"/>
    <w:rsid w:val="65611AE9"/>
    <w:rsid w:val="65622F6B"/>
    <w:rsid w:val="65624DEB"/>
    <w:rsid w:val="65642043"/>
    <w:rsid w:val="65717E39"/>
    <w:rsid w:val="657473F4"/>
    <w:rsid w:val="65760643"/>
    <w:rsid w:val="6578278E"/>
    <w:rsid w:val="658123CB"/>
    <w:rsid w:val="658837DB"/>
    <w:rsid w:val="65895ACC"/>
    <w:rsid w:val="65931D3A"/>
    <w:rsid w:val="659822DD"/>
    <w:rsid w:val="65982448"/>
    <w:rsid w:val="65A219CF"/>
    <w:rsid w:val="65A3380C"/>
    <w:rsid w:val="65AD2600"/>
    <w:rsid w:val="65B44DD6"/>
    <w:rsid w:val="65C01578"/>
    <w:rsid w:val="65C23A09"/>
    <w:rsid w:val="65C40176"/>
    <w:rsid w:val="65C43767"/>
    <w:rsid w:val="65C43B43"/>
    <w:rsid w:val="65D21F83"/>
    <w:rsid w:val="65D60201"/>
    <w:rsid w:val="65D62648"/>
    <w:rsid w:val="65D8322D"/>
    <w:rsid w:val="65D95B4E"/>
    <w:rsid w:val="65DF6369"/>
    <w:rsid w:val="65E174B2"/>
    <w:rsid w:val="65E31C55"/>
    <w:rsid w:val="65E57CC9"/>
    <w:rsid w:val="65E9368C"/>
    <w:rsid w:val="65ED5D93"/>
    <w:rsid w:val="65EF47B9"/>
    <w:rsid w:val="65F01AB4"/>
    <w:rsid w:val="65F8423D"/>
    <w:rsid w:val="65FA6585"/>
    <w:rsid w:val="65FE7F42"/>
    <w:rsid w:val="65FF1E6C"/>
    <w:rsid w:val="66016621"/>
    <w:rsid w:val="6601664A"/>
    <w:rsid w:val="660B3DE6"/>
    <w:rsid w:val="660B5925"/>
    <w:rsid w:val="660D7671"/>
    <w:rsid w:val="66100967"/>
    <w:rsid w:val="661E3335"/>
    <w:rsid w:val="6623094C"/>
    <w:rsid w:val="66264581"/>
    <w:rsid w:val="6627119C"/>
    <w:rsid w:val="662720D2"/>
    <w:rsid w:val="66291CDA"/>
    <w:rsid w:val="662A5B8E"/>
    <w:rsid w:val="662A7A0E"/>
    <w:rsid w:val="662F3E9F"/>
    <w:rsid w:val="66312FB6"/>
    <w:rsid w:val="663219D1"/>
    <w:rsid w:val="663761A5"/>
    <w:rsid w:val="663955FC"/>
    <w:rsid w:val="663A5586"/>
    <w:rsid w:val="663B696B"/>
    <w:rsid w:val="664334EE"/>
    <w:rsid w:val="66477914"/>
    <w:rsid w:val="664E3FE8"/>
    <w:rsid w:val="6653533F"/>
    <w:rsid w:val="66646397"/>
    <w:rsid w:val="66653D48"/>
    <w:rsid w:val="66687B6A"/>
    <w:rsid w:val="666A04BB"/>
    <w:rsid w:val="666B7001"/>
    <w:rsid w:val="666D301C"/>
    <w:rsid w:val="66734CD3"/>
    <w:rsid w:val="66787D8A"/>
    <w:rsid w:val="667A0559"/>
    <w:rsid w:val="667D75EA"/>
    <w:rsid w:val="66860EDB"/>
    <w:rsid w:val="668C6D2B"/>
    <w:rsid w:val="668E014F"/>
    <w:rsid w:val="668F7D8F"/>
    <w:rsid w:val="669A1F4A"/>
    <w:rsid w:val="669C06FE"/>
    <w:rsid w:val="669D0FFF"/>
    <w:rsid w:val="66A37B86"/>
    <w:rsid w:val="66A77854"/>
    <w:rsid w:val="66AA4416"/>
    <w:rsid w:val="66B87247"/>
    <w:rsid w:val="66BC66AA"/>
    <w:rsid w:val="66C1139D"/>
    <w:rsid w:val="66C11F13"/>
    <w:rsid w:val="66C82EFB"/>
    <w:rsid w:val="66C86704"/>
    <w:rsid w:val="66CC0FE3"/>
    <w:rsid w:val="66D03707"/>
    <w:rsid w:val="66D12486"/>
    <w:rsid w:val="66D4710B"/>
    <w:rsid w:val="66D87459"/>
    <w:rsid w:val="66D94502"/>
    <w:rsid w:val="66D973F3"/>
    <w:rsid w:val="66DC1DC6"/>
    <w:rsid w:val="66DC5B3F"/>
    <w:rsid w:val="66DC5FE9"/>
    <w:rsid w:val="66DF50F6"/>
    <w:rsid w:val="66E03F2D"/>
    <w:rsid w:val="66E6099B"/>
    <w:rsid w:val="66E63727"/>
    <w:rsid w:val="66F1031A"/>
    <w:rsid w:val="66F26A60"/>
    <w:rsid w:val="66F77C12"/>
    <w:rsid w:val="66F812D6"/>
    <w:rsid w:val="670276DF"/>
    <w:rsid w:val="6703116C"/>
    <w:rsid w:val="67060408"/>
    <w:rsid w:val="670D7BFB"/>
    <w:rsid w:val="67105321"/>
    <w:rsid w:val="67155BC7"/>
    <w:rsid w:val="67296B1B"/>
    <w:rsid w:val="67381AD5"/>
    <w:rsid w:val="673D7A3A"/>
    <w:rsid w:val="674B66AD"/>
    <w:rsid w:val="675112D0"/>
    <w:rsid w:val="675B55F3"/>
    <w:rsid w:val="675E2286"/>
    <w:rsid w:val="675F3441"/>
    <w:rsid w:val="67692393"/>
    <w:rsid w:val="676A5052"/>
    <w:rsid w:val="676E209B"/>
    <w:rsid w:val="676E7F3D"/>
    <w:rsid w:val="67704FAD"/>
    <w:rsid w:val="67740045"/>
    <w:rsid w:val="67780823"/>
    <w:rsid w:val="677A20C1"/>
    <w:rsid w:val="677A520C"/>
    <w:rsid w:val="677A547F"/>
    <w:rsid w:val="677B1748"/>
    <w:rsid w:val="677E4332"/>
    <w:rsid w:val="678070A8"/>
    <w:rsid w:val="67814CA0"/>
    <w:rsid w:val="6781689D"/>
    <w:rsid w:val="67836156"/>
    <w:rsid w:val="67846860"/>
    <w:rsid w:val="678E6700"/>
    <w:rsid w:val="679715F1"/>
    <w:rsid w:val="679B40CF"/>
    <w:rsid w:val="67A27CC2"/>
    <w:rsid w:val="67A45ABC"/>
    <w:rsid w:val="67A60B9C"/>
    <w:rsid w:val="67A61834"/>
    <w:rsid w:val="67AB06F9"/>
    <w:rsid w:val="67AC30A1"/>
    <w:rsid w:val="67AD0F3F"/>
    <w:rsid w:val="67AE06E9"/>
    <w:rsid w:val="67AE20A4"/>
    <w:rsid w:val="67BC66F9"/>
    <w:rsid w:val="67CE48E7"/>
    <w:rsid w:val="67DA041D"/>
    <w:rsid w:val="67DA6592"/>
    <w:rsid w:val="67DD2E72"/>
    <w:rsid w:val="67E10434"/>
    <w:rsid w:val="67E1286C"/>
    <w:rsid w:val="67E35CBC"/>
    <w:rsid w:val="67EA57D2"/>
    <w:rsid w:val="67EF30B3"/>
    <w:rsid w:val="67F313FA"/>
    <w:rsid w:val="68061993"/>
    <w:rsid w:val="680D0939"/>
    <w:rsid w:val="68130731"/>
    <w:rsid w:val="68237FD2"/>
    <w:rsid w:val="682D0A6C"/>
    <w:rsid w:val="682F0D1A"/>
    <w:rsid w:val="68304693"/>
    <w:rsid w:val="68394CF3"/>
    <w:rsid w:val="683D381B"/>
    <w:rsid w:val="684557CE"/>
    <w:rsid w:val="684626D0"/>
    <w:rsid w:val="68466D27"/>
    <w:rsid w:val="684A6E18"/>
    <w:rsid w:val="68527C4A"/>
    <w:rsid w:val="685C36DF"/>
    <w:rsid w:val="685F1B8A"/>
    <w:rsid w:val="686314D3"/>
    <w:rsid w:val="686354B0"/>
    <w:rsid w:val="68686AEA"/>
    <w:rsid w:val="68694E7B"/>
    <w:rsid w:val="686D127F"/>
    <w:rsid w:val="686E60C8"/>
    <w:rsid w:val="686E7A7B"/>
    <w:rsid w:val="687067F6"/>
    <w:rsid w:val="68747A3A"/>
    <w:rsid w:val="68757459"/>
    <w:rsid w:val="68784853"/>
    <w:rsid w:val="68802A41"/>
    <w:rsid w:val="688C4647"/>
    <w:rsid w:val="689078F6"/>
    <w:rsid w:val="68912C6E"/>
    <w:rsid w:val="689304A0"/>
    <w:rsid w:val="689D07A2"/>
    <w:rsid w:val="68A67612"/>
    <w:rsid w:val="68AA7102"/>
    <w:rsid w:val="68AF2B87"/>
    <w:rsid w:val="68B00491"/>
    <w:rsid w:val="68B20ED3"/>
    <w:rsid w:val="68B90FA1"/>
    <w:rsid w:val="68B93D81"/>
    <w:rsid w:val="68BA16EF"/>
    <w:rsid w:val="68BF219B"/>
    <w:rsid w:val="68C70336"/>
    <w:rsid w:val="68D17DB2"/>
    <w:rsid w:val="68D66149"/>
    <w:rsid w:val="68DD5DD6"/>
    <w:rsid w:val="68E322A8"/>
    <w:rsid w:val="68E3352F"/>
    <w:rsid w:val="68E47B05"/>
    <w:rsid w:val="68E65278"/>
    <w:rsid w:val="68EA39A3"/>
    <w:rsid w:val="68EC04DE"/>
    <w:rsid w:val="68F55EA4"/>
    <w:rsid w:val="68FB3625"/>
    <w:rsid w:val="68FC7FC0"/>
    <w:rsid w:val="68FF4226"/>
    <w:rsid w:val="69022832"/>
    <w:rsid w:val="690578F0"/>
    <w:rsid w:val="69093CAF"/>
    <w:rsid w:val="690B66CE"/>
    <w:rsid w:val="690B7063"/>
    <w:rsid w:val="690B7520"/>
    <w:rsid w:val="691200AE"/>
    <w:rsid w:val="69137922"/>
    <w:rsid w:val="691439F4"/>
    <w:rsid w:val="69152147"/>
    <w:rsid w:val="692E7E6B"/>
    <w:rsid w:val="69317031"/>
    <w:rsid w:val="69390486"/>
    <w:rsid w:val="693A1EA3"/>
    <w:rsid w:val="693B5FAC"/>
    <w:rsid w:val="693E4A79"/>
    <w:rsid w:val="69447204"/>
    <w:rsid w:val="694A5787"/>
    <w:rsid w:val="6950151A"/>
    <w:rsid w:val="695373E0"/>
    <w:rsid w:val="696131F9"/>
    <w:rsid w:val="69630248"/>
    <w:rsid w:val="69642235"/>
    <w:rsid w:val="69647D29"/>
    <w:rsid w:val="6966192A"/>
    <w:rsid w:val="696F1F2A"/>
    <w:rsid w:val="696F3EA8"/>
    <w:rsid w:val="696F6CE6"/>
    <w:rsid w:val="69774629"/>
    <w:rsid w:val="697A47E0"/>
    <w:rsid w:val="697C5B7B"/>
    <w:rsid w:val="697E74B0"/>
    <w:rsid w:val="69807E63"/>
    <w:rsid w:val="69842B01"/>
    <w:rsid w:val="698C636F"/>
    <w:rsid w:val="698D0B45"/>
    <w:rsid w:val="698E07D2"/>
    <w:rsid w:val="6992357A"/>
    <w:rsid w:val="69935DE8"/>
    <w:rsid w:val="69964E32"/>
    <w:rsid w:val="69992909"/>
    <w:rsid w:val="69A04B88"/>
    <w:rsid w:val="69AB1271"/>
    <w:rsid w:val="69B03281"/>
    <w:rsid w:val="69B64F85"/>
    <w:rsid w:val="69BA55BE"/>
    <w:rsid w:val="69BB1CEB"/>
    <w:rsid w:val="69BD2E65"/>
    <w:rsid w:val="69C76718"/>
    <w:rsid w:val="69CB47D7"/>
    <w:rsid w:val="69CC74BA"/>
    <w:rsid w:val="69CE01B8"/>
    <w:rsid w:val="69CE56DF"/>
    <w:rsid w:val="69CF00C0"/>
    <w:rsid w:val="69D85016"/>
    <w:rsid w:val="69D863D1"/>
    <w:rsid w:val="69DA3DA8"/>
    <w:rsid w:val="69DA61FE"/>
    <w:rsid w:val="69DD38E7"/>
    <w:rsid w:val="69E3371C"/>
    <w:rsid w:val="69E67C99"/>
    <w:rsid w:val="69E76134"/>
    <w:rsid w:val="69E93FCD"/>
    <w:rsid w:val="69E95A08"/>
    <w:rsid w:val="69EA2DBD"/>
    <w:rsid w:val="69ED03AA"/>
    <w:rsid w:val="69EE58FD"/>
    <w:rsid w:val="69F20C1E"/>
    <w:rsid w:val="69F639C7"/>
    <w:rsid w:val="69F75721"/>
    <w:rsid w:val="6A0456C2"/>
    <w:rsid w:val="6A0A518E"/>
    <w:rsid w:val="6A0B1654"/>
    <w:rsid w:val="6A0C1240"/>
    <w:rsid w:val="6A0E13F3"/>
    <w:rsid w:val="6A0E6EBA"/>
    <w:rsid w:val="6A132F25"/>
    <w:rsid w:val="6A161408"/>
    <w:rsid w:val="6A1A717B"/>
    <w:rsid w:val="6A220495"/>
    <w:rsid w:val="6A284420"/>
    <w:rsid w:val="6A305C56"/>
    <w:rsid w:val="6A320549"/>
    <w:rsid w:val="6A3C135F"/>
    <w:rsid w:val="6A3D558C"/>
    <w:rsid w:val="6A3F387A"/>
    <w:rsid w:val="6A441179"/>
    <w:rsid w:val="6A470CAC"/>
    <w:rsid w:val="6A477104"/>
    <w:rsid w:val="6A49525E"/>
    <w:rsid w:val="6A4D4C5B"/>
    <w:rsid w:val="6A52123E"/>
    <w:rsid w:val="6A5318E5"/>
    <w:rsid w:val="6A5C442C"/>
    <w:rsid w:val="6A5E1976"/>
    <w:rsid w:val="6A641533"/>
    <w:rsid w:val="6A6D40BC"/>
    <w:rsid w:val="6A7718D3"/>
    <w:rsid w:val="6A7774B8"/>
    <w:rsid w:val="6A817C93"/>
    <w:rsid w:val="6A83685F"/>
    <w:rsid w:val="6A871F0C"/>
    <w:rsid w:val="6A871F42"/>
    <w:rsid w:val="6A877F85"/>
    <w:rsid w:val="6A89533F"/>
    <w:rsid w:val="6A90546D"/>
    <w:rsid w:val="6A944EDC"/>
    <w:rsid w:val="6AA320BF"/>
    <w:rsid w:val="6AA46A60"/>
    <w:rsid w:val="6AA941ED"/>
    <w:rsid w:val="6AAD425D"/>
    <w:rsid w:val="6AB03DD7"/>
    <w:rsid w:val="6AB149CC"/>
    <w:rsid w:val="6AB5211E"/>
    <w:rsid w:val="6ABF0E6A"/>
    <w:rsid w:val="6AC36259"/>
    <w:rsid w:val="6AC774B9"/>
    <w:rsid w:val="6AC92B68"/>
    <w:rsid w:val="6ACC5E97"/>
    <w:rsid w:val="6ACD0E86"/>
    <w:rsid w:val="6ACE1E75"/>
    <w:rsid w:val="6AD06207"/>
    <w:rsid w:val="6AD97F5A"/>
    <w:rsid w:val="6AE03108"/>
    <w:rsid w:val="6AEE2FDC"/>
    <w:rsid w:val="6AF42FD3"/>
    <w:rsid w:val="6AF50E98"/>
    <w:rsid w:val="6AF97ECD"/>
    <w:rsid w:val="6B037194"/>
    <w:rsid w:val="6B05038A"/>
    <w:rsid w:val="6B242712"/>
    <w:rsid w:val="6B272C8C"/>
    <w:rsid w:val="6B2A3E4F"/>
    <w:rsid w:val="6B2B66DF"/>
    <w:rsid w:val="6B2C321E"/>
    <w:rsid w:val="6B321CB0"/>
    <w:rsid w:val="6B340F05"/>
    <w:rsid w:val="6B3420FD"/>
    <w:rsid w:val="6B3C4311"/>
    <w:rsid w:val="6B3D24B0"/>
    <w:rsid w:val="6B3F2BDC"/>
    <w:rsid w:val="6B4A1BD3"/>
    <w:rsid w:val="6B5F4D5D"/>
    <w:rsid w:val="6B63047C"/>
    <w:rsid w:val="6B656219"/>
    <w:rsid w:val="6B6B2369"/>
    <w:rsid w:val="6B703894"/>
    <w:rsid w:val="6B776695"/>
    <w:rsid w:val="6B8162AE"/>
    <w:rsid w:val="6B8375B6"/>
    <w:rsid w:val="6B87197D"/>
    <w:rsid w:val="6B8829BB"/>
    <w:rsid w:val="6B895A27"/>
    <w:rsid w:val="6B8A0EE1"/>
    <w:rsid w:val="6B8D27C1"/>
    <w:rsid w:val="6B9A59AF"/>
    <w:rsid w:val="6B9D54CB"/>
    <w:rsid w:val="6BA076F0"/>
    <w:rsid w:val="6BA373BC"/>
    <w:rsid w:val="6BA8544F"/>
    <w:rsid w:val="6BA86459"/>
    <w:rsid w:val="6BAD7FAD"/>
    <w:rsid w:val="6BAF081D"/>
    <w:rsid w:val="6BB169FA"/>
    <w:rsid w:val="6BB42748"/>
    <w:rsid w:val="6BBB2B0A"/>
    <w:rsid w:val="6BC12E9F"/>
    <w:rsid w:val="6BC244FE"/>
    <w:rsid w:val="6BC3763E"/>
    <w:rsid w:val="6BC568DE"/>
    <w:rsid w:val="6BCA00F3"/>
    <w:rsid w:val="6BD2215A"/>
    <w:rsid w:val="6BD36970"/>
    <w:rsid w:val="6BD563C1"/>
    <w:rsid w:val="6BD825EB"/>
    <w:rsid w:val="6BDA756C"/>
    <w:rsid w:val="6BDB0DC9"/>
    <w:rsid w:val="6BDC6711"/>
    <w:rsid w:val="6BDD2514"/>
    <w:rsid w:val="6BE317ED"/>
    <w:rsid w:val="6BE62E60"/>
    <w:rsid w:val="6BEB340B"/>
    <w:rsid w:val="6BF74D08"/>
    <w:rsid w:val="6BF8288C"/>
    <w:rsid w:val="6BFE0F82"/>
    <w:rsid w:val="6BFE3A18"/>
    <w:rsid w:val="6BFF36AF"/>
    <w:rsid w:val="6C0A7926"/>
    <w:rsid w:val="6C111246"/>
    <w:rsid w:val="6C144674"/>
    <w:rsid w:val="6C163E7A"/>
    <w:rsid w:val="6C173279"/>
    <w:rsid w:val="6C185E54"/>
    <w:rsid w:val="6C266100"/>
    <w:rsid w:val="6C2A325F"/>
    <w:rsid w:val="6C2C2B1D"/>
    <w:rsid w:val="6C2C7131"/>
    <w:rsid w:val="6C2D1579"/>
    <w:rsid w:val="6C2E38EE"/>
    <w:rsid w:val="6C3252B7"/>
    <w:rsid w:val="6C3811AE"/>
    <w:rsid w:val="6C407BBB"/>
    <w:rsid w:val="6C4240F9"/>
    <w:rsid w:val="6C4B13A2"/>
    <w:rsid w:val="6C4D6722"/>
    <w:rsid w:val="6C4E6FC1"/>
    <w:rsid w:val="6C4F4650"/>
    <w:rsid w:val="6C5164C2"/>
    <w:rsid w:val="6C51775B"/>
    <w:rsid w:val="6C520EAB"/>
    <w:rsid w:val="6C530C10"/>
    <w:rsid w:val="6C561C66"/>
    <w:rsid w:val="6C576A17"/>
    <w:rsid w:val="6C602F3C"/>
    <w:rsid w:val="6C647BD2"/>
    <w:rsid w:val="6C6E6E7F"/>
    <w:rsid w:val="6C752566"/>
    <w:rsid w:val="6C774EA5"/>
    <w:rsid w:val="6C77611C"/>
    <w:rsid w:val="6C782D13"/>
    <w:rsid w:val="6C7A1CE6"/>
    <w:rsid w:val="6C7A799E"/>
    <w:rsid w:val="6C7D1340"/>
    <w:rsid w:val="6C7F4402"/>
    <w:rsid w:val="6C8163CC"/>
    <w:rsid w:val="6C81770F"/>
    <w:rsid w:val="6C8A7F22"/>
    <w:rsid w:val="6C8E2466"/>
    <w:rsid w:val="6C8E6D3B"/>
    <w:rsid w:val="6C920A95"/>
    <w:rsid w:val="6C92262C"/>
    <w:rsid w:val="6C995287"/>
    <w:rsid w:val="6C9B2C0E"/>
    <w:rsid w:val="6C9D26A9"/>
    <w:rsid w:val="6CA21EAA"/>
    <w:rsid w:val="6CA62BCF"/>
    <w:rsid w:val="6CAC2E15"/>
    <w:rsid w:val="6CB13E81"/>
    <w:rsid w:val="6CB30550"/>
    <w:rsid w:val="6CB338B3"/>
    <w:rsid w:val="6CB561E6"/>
    <w:rsid w:val="6CB87914"/>
    <w:rsid w:val="6CBC16C5"/>
    <w:rsid w:val="6CBF0233"/>
    <w:rsid w:val="6CC02E2E"/>
    <w:rsid w:val="6CC16C42"/>
    <w:rsid w:val="6CC17618"/>
    <w:rsid w:val="6CC34B10"/>
    <w:rsid w:val="6CD04B41"/>
    <w:rsid w:val="6CD96E67"/>
    <w:rsid w:val="6CDC2D7F"/>
    <w:rsid w:val="6CDD0A3D"/>
    <w:rsid w:val="6CE27AF9"/>
    <w:rsid w:val="6CE30221"/>
    <w:rsid w:val="6CEB7CE9"/>
    <w:rsid w:val="6CEC7AAB"/>
    <w:rsid w:val="6CED3A62"/>
    <w:rsid w:val="6CF83B19"/>
    <w:rsid w:val="6D001895"/>
    <w:rsid w:val="6D0019E7"/>
    <w:rsid w:val="6D0269B0"/>
    <w:rsid w:val="6D052272"/>
    <w:rsid w:val="6D061516"/>
    <w:rsid w:val="6D084CF2"/>
    <w:rsid w:val="6D1458CB"/>
    <w:rsid w:val="6D1B4843"/>
    <w:rsid w:val="6D1C06E9"/>
    <w:rsid w:val="6D1C083E"/>
    <w:rsid w:val="6D1C60F5"/>
    <w:rsid w:val="6D1E3C1B"/>
    <w:rsid w:val="6D1F63B8"/>
    <w:rsid w:val="6D242CB5"/>
    <w:rsid w:val="6D262AD0"/>
    <w:rsid w:val="6D324CAD"/>
    <w:rsid w:val="6D347211"/>
    <w:rsid w:val="6D347EA9"/>
    <w:rsid w:val="6D351D7E"/>
    <w:rsid w:val="6D386416"/>
    <w:rsid w:val="6D3A1767"/>
    <w:rsid w:val="6D3B587B"/>
    <w:rsid w:val="6D3E2288"/>
    <w:rsid w:val="6D475F85"/>
    <w:rsid w:val="6D4D62AE"/>
    <w:rsid w:val="6D563923"/>
    <w:rsid w:val="6D594AFC"/>
    <w:rsid w:val="6D5B1838"/>
    <w:rsid w:val="6D5B4695"/>
    <w:rsid w:val="6D5E256C"/>
    <w:rsid w:val="6D62444F"/>
    <w:rsid w:val="6D696D90"/>
    <w:rsid w:val="6D6B0DDE"/>
    <w:rsid w:val="6D7B2E1B"/>
    <w:rsid w:val="6D7F25C1"/>
    <w:rsid w:val="6D82353D"/>
    <w:rsid w:val="6D83251E"/>
    <w:rsid w:val="6D8C5028"/>
    <w:rsid w:val="6D8E6FF3"/>
    <w:rsid w:val="6D8F68C7"/>
    <w:rsid w:val="6D907AD4"/>
    <w:rsid w:val="6D9A6A75"/>
    <w:rsid w:val="6D9F3DD8"/>
    <w:rsid w:val="6DA02882"/>
    <w:rsid w:val="6DA36A5D"/>
    <w:rsid w:val="6DA5433C"/>
    <w:rsid w:val="6DAD2DB4"/>
    <w:rsid w:val="6DBB120B"/>
    <w:rsid w:val="6DBE1A43"/>
    <w:rsid w:val="6DCC5ABE"/>
    <w:rsid w:val="6DCF476F"/>
    <w:rsid w:val="6DCF6B61"/>
    <w:rsid w:val="6DD2377C"/>
    <w:rsid w:val="6DD4077E"/>
    <w:rsid w:val="6DD84A34"/>
    <w:rsid w:val="6DE445F0"/>
    <w:rsid w:val="6DE80006"/>
    <w:rsid w:val="6DE8775F"/>
    <w:rsid w:val="6DE94229"/>
    <w:rsid w:val="6DEC3919"/>
    <w:rsid w:val="6DF04651"/>
    <w:rsid w:val="6DF37E0D"/>
    <w:rsid w:val="6DF825E5"/>
    <w:rsid w:val="6DFD5090"/>
    <w:rsid w:val="6E010E59"/>
    <w:rsid w:val="6E037B96"/>
    <w:rsid w:val="6E066A6C"/>
    <w:rsid w:val="6E0819B1"/>
    <w:rsid w:val="6E0D3650"/>
    <w:rsid w:val="6E0F4A6C"/>
    <w:rsid w:val="6E193D66"/>
    <w:rsid w:val="6E1D45CF"/>
    <w:rsid w:val="6E1F40EF"/>
    <w:rsid w:val="6E242651"/>
    <w:rsid w:val="6E261003"/>
    <w:rsid w:val="6E267563"/>
    <w:rsid w:val="6E282CF9"/>
    <w:rsid w:val="6E2D2C94"/>
    <w:rsid w:val="6E34121C"/>
    <w:rsid w:val="6E3760BB"/>
    <w:rsid w:val="6E405359"/>
    <w:rsid w:val="6E453A45"/>
    <w:rsid w:val="6E461B04"/>
    <w:rsid w:val="6E4A7A74"/>
    <w:rsid w:val="6E573888"/>
    <w:rsid w:val="6E582A2C"/>
    <w:rsid w:val="6E5C40A5"/>
    <w:rsid w:val="6E5E5637"/>
    <w:rsid w:val="6E6011F9"/>
    <w:rsid w:val="6E605CAD"/>
    <w:rsid w:val="6E673F92"/>
    <w:rsid w:val="6E6B10E2"/>
    <w:rsid w:val="6E6B3471"/>
    <w:rsid w:val="6E6E1524"/>
    <w:rsid w:val="6E723906"/>
    <w:rsid w:val="6E742363"/>
    <w:rsid w:val="6E79723B"/>
    <w:rsid w:val="6E7A1CD3"/>
    <w:rsid w:val="6E7E2890"/>
    <w:rsid w:val="6E825693"/>
    <w:rsid w:val="6E83620B"/>
    <w:rsid w:val="6E861EF1"/>
    <w:rsid w:val="6E9879FD"/>
    <w:rsid w:val="6E9C573F"/>
    <w:rsid w:val="6EA04EEC"/>
    <w:rsid w:val="6EA13BFA"/>
    <w:rsid w:val="6EA143DF"/>
    <w:rsid w:val="6EA76420"/>
    <w:rsid w:val="6EAC3BBA"/>
    <w:rsid w:val="6EB32A89"/>
    <w:rsid w:val="6EC15B86"/>
    <w:rsid w:val="6EC27990"/>
    <w:rsid w:val="6EC30BAF"/>
    <w:rsid w:val="6EC30F1E"/>
    <w:rsid w:val="6EC3664E"/>
    <w:rsid w:val="6EC543D7"/>
    <w:rsid w:val="6EC93A81"/>
    <w:rsid w:val="6ECC2114"/>
    <w:rsid w:val="6ED4453B"/>
    <w:rsid w:val="6ED8429D"/>
    <w:rsid w:val="6EE54ACA"/>
    <w:rsid w:val="6EE90259"/>
    <w:rsid w:val="6EEF57F4"/>
    <w:rsid w:val="6EF7073F"/>
    <w:rsid w:val="6EFF229C"/>
    <w:rsid w:val="6F00588A"/>
    <w:rsid w:val="6F005E6B"/>
    <w:rsid w:val="6F06705D"/>
    <w:rsid w:val="6F084B83"/>
    <w:rsid w:val="6F087740"/>
    <w:rsid w:val="6F0F39F7"/>
    <w:rsid w:val="6F156665"/>
    <w:rsid w:val="6F1A2251"/>
    <w:rsid w:val="6F20442D"/>
    <w:rsid w:val="6F2133AB"/>
    <w:rsid w:val="6F237A05"/>
    <w:rsid w:val="6F2A675D"/>
    <w:rsid w:val="6F327939"/>
    <w:rsid w:val="6F345466"/>
    <w:rsid w:val="6F3C122C"/>
    <w:rsid w:val="6F3F60CB"/>
    <w:rsid w:val="6F40038F"/>
    <w:rsid w:val="6F502086"/>
    <w:rsid w:val="6F5300D9"/>
    <w:rsid w:val="6F5469B6"/>
    <w:rsid w:val="6F58481A"/>
    <w:rsid w:val="6F6C6E54"/>
    <w:rsid w:val="6F751C27"/>
    <w:rsid w:val="6F757788"/>
    <w:rsid w:val="6F7E2090"/>
    <w:rsid w:val="6F823EA7"/>
    <w:rsid w:val="6F844DBC"/>
    <w:rsid w:val="6F854425"/>
    <w:rsid w:val="6F8715EB"/>
    <w:rsid w:val="6F8725F7"/>
    <w:rsid w:val="6F8C1686"/>
    <w:rsid w:val="6F910AD6"/>
    <w:rsid w:val="6F912DCA"/>
    <w:rsid w:val="6F945334"/>
    <w:rsid w:val="6F987FFD"/>
    <w:rsid w:val="6F9F666F"/>
    <w:rsid w:val="6FB04CCE"/>
    <w:rsid w:val="6FBD6232"/>
    <w:rsid w:val="6FC01F8F"/>
    <w:rsid w:val="6FC04153"/>
    <w:rsid w:val="6FCE5CBB"/>
    <w:rsid w:val="6FD827A7"/>
    <w:rsid w:val="6FD83206"/>
    <w:rsid w:val="6FDC1942"/>
    <w:rsid w:val="6FE06C43"/>
    <w:rsid w:val="6FE20202"/>
    <w:rsid w:val="6FE365A4"/>
    <w:rsid w:val="6FE43F79"/>
    <w:rsid w:val="6FE9286B"/>
    <w:rsid w:val="6FEC283D"/>
    <w:rsid w:val="6FEC6C2B"/>
    <w:rsid w:val="6FEF778D"/>
    <w:rsid w:val="6FF12F5F"/>
    <w:rsid w:val="6FF93153"/>
    <w:rsid w:val="6FFA2C08"/>
    <w:rsid w:val="70032654"/>
    <w:rsid w:val="70087690"/>
    <w:rsid w:val="700C21C5"/>
    <w:rsid w:val="70125F62"/>
    <w:rsid w:val="70165A1F"/>
    <w:rsid w:val="701E2184"/>
    <w:rsid w:val="702A275D"/>
    <w:rsid w:val="70313C65"/>
    <w:rsid w:val="70322E63"/>
    <w:rsid w:val="7032324F"/>
    <w:rsid w:val="70330DD9"/>
    <w:rsid w:val="703B4FED"/>
    <w:rsid w:val="703D65DA"/>
    <w:rsid w:val="703F5BF3"/>
    <w:rsid w:val="704240C4"/>
    <w:rsid w:val="70431857"/>
    <w:rsid w:val="704B68A8"/>
    <w:rsid w:val="704C260E"/>
    <w:rsid w:val="70543CE2"/>
    <w:rsid w:val="70545BA6"/>
    <w:rsid w:val="70561F0A"/>
    <w:rsid w:val="705B61C5"/>
    <w:rsid w:val="705B6F34"/>
    <w:rsid w:val="705E7EB1"/>
    <w:rsid w:val="706458F5"/>
    <w:rsid w:val="706C4E74"/>
    <w:rsid w:val="707675BB"/>
    <w:rsid w:val="708227A9"/>
    <w:rsid w:val="7086436B"/>
    <w:rsid w:val="70891CF3"/>
    <w:rsid w:val="7089749A"/>
    <w:rsid w:val="708E13E1"/>
    <w:rsid w:val="7090341F"/>
    <w:rsid w:val="70934D6B"/>
    <w:rsid w:val="7099571F"/>
    <w:rsid w:val="709D2DEC"/>
    <w:rsid w:val="709D756E"/>
    <w:rsid w:val="709F20B3"/>
    <w:rsid w:val="70A01767"/>
    <w:rsid w:val="70AA46DF"/>
    <w:rsid w:val="70AE7531"/>
    <w:rsid w:val="70B05B00"/>
    <w:rsid w:val="70B07280"/>
    <w:rsid w:val="70B2393C"/>
    <w:rsid w:val="70B310AE"/>
    <w:rsid w:val="70B644B1"/>
    <w:rsid w:val="70B82FD3"/>
    <w:rsid w:val="70B95679"/>
    <w:rsid w:val="70BA1EAD"/>
    <w:rsid w:val="70BA6222"/>
    <w:rsid w:val="70BB79D3"/>
    <w:rsid w:val="70BD3380"/>
    <w:rsid w:val="70C05F84"/>
    <w:rsid w:val="70C161EB"/>
    <w:rsid w:val="70C224AB"/>
    <w:rsid w:val="70C26FB3"/>
    <w:rsid w:val="70C37DDF"/>
    <w:rsid w:val="70C432B4"/>
    <w:rsid w:val="70C932BA"/>
    <w:rsid w:val="70C94C38"/>
    <w:rsid w:val="70CC28E1"/>
    <w:rsid w:val="70CC7251"/>
    <w:rsid w:val="70CF4244"/>
    <w:rsid w:val="70D05B24"/>
    <w:rsid w:val="70D23391"/>
    <w:rsid w:val="70D268E8"/>
    <w:rsid w:val="70D311C0"/>
    <w:rsid w:val="70D676F5"/>
    <w:rsid w:val="70D72CFE"/>
    <w:rsid w:val="70DD3DED"/>
    <w:rsid w:val="70DF7ED0"/>
    <w:rsid w:val="70EC65A4"/>
    <w:rsid w:val="70F12CA6"/>
    <w:rsid w:val="70F82D59"/>
    <w:rsid w:val="70FE336D"/>
    <w:rsid w:val="71027EBD"/>
    <w:rsid w:val="710515F9"/>
    <w:rsid w:val="71155AEC"/>
    <w:rsid w:val="711606F7"/>
    <w:rsid w:val="711C62AE"/>
    <w:rsid w:val="712532FF"/>
    <w:rsid w:val="71275730"/>
    <w:rsid w:val="71285068"/>
    <w:rsid w:val="712B3396"/>
    <w:rsid w:val="712D3434"/>
    <w:rsid w:val="713043DC"/>
    <w:rsid w:val="71334429"/>
    <w:rsid w:val="7136359B"/>
    <w:rsid w:val="713734FD"/>
    <w:rsid w:val="713929FF"/>
    <w:rsid w:val="713A259D"/>
    <w:rsid w:val="713F108F"/>
    <w:rsid w:val="71414CF0"/>
    <w:rsid w:val="714874B8"/>
    <w:rsid w:val="714B6983"/>
    <w:rsid w:val="714E0005"/>
    <w:rsid w:val="714F1722"/>
    <w:rsid w:val="714F6A99"/>
    <w:rsid w:val="715D1FB3"/>
    <w:rsid w:val="71614EDC"/>
    <w:rsid w:val="716760E6"/>
    <w:rsid w:val="7169599C"/>
    <w:rsid w:val="7175261E"/>
    <w:rsid w:val="717E5C5B"/>
    <w:rsid w:val="71810C1C"/>
    <w:rsid w:val="7181610E"/>
    <w:rsid w:val="71816D21"/>
    <w:rsid w:val="71854F78"/>
    <w:rsid w:val="71964C59"/>
    <w:rsid w:val="719811F7"/>
    <w:rsid w:val="71981D91"/>
    <w:rsid w:val="7198256C"/>
    <w:rsid w:val="719C7B18"/>
    <w:rsid w:val="719D1D20"/>
    <w:rsid w:val="719E7939"/>
    <w:rsid w:val="719F29FB"/>
    <w:rsid w:val="71A64AFF"/>
    <w:rsid w:val="71A65ADA"/>
    <w:rsid w:val="71AA7945"/>
    <w:rsid w:val="71BB5741"/>
    <w:rsid w:val="71C10002"/>
    <w:rsid w:val="71C27B97"/>
    <w:rsid w:val="71C30E32"/>
    <w:rsid w:val="71C43092"/>
    <w:rsid w:val="71C66D01"/>
    <w:rsid w:val="71C76DE6"/>
    <w:rsid w:val="71C823A7"/>
    <w:rsid w:val="71CD751C"/>
    <w:rsid w:val="71CE7B26"/>
    <w:rsid w:val="71CF29F1"/>
    <w:rsid w:val="71E02D3A"/>
    <w:rsid w:val="71E32057"/>
    <w:rsid w:val="71E40739"/>
    <w:rsid w:val="71EB7849"/>
    <w:rsid w:val="71F24FB3"/>
    <w:rsid w:val="71F52906"/>
    <w:rsid w:val="71FC0501"/>
    <w:rsid w:val="7200787E"/>
    <w:rsid w:val="720364BC"/>
    <w:rsid w:val="720D1F2F"/>
    <w:rsid w:val="720E28CF"/>
    <w:rsid w:val="72104DED"/>
    <w:rsid w:val="72127625"/>
    <w:rsid w:val="721A02E3"/>
    <w:rsid w:val="721C3014"/>
    <w:rsid w:val="721C7833"/>
    <w:rsid w:val="72231CA7"/>
    <w:rsid w:val="72245356"/>
    <w:rsid w:val="72252C36"/>
    <w:rsid w:val="72256327"/>
    <w:rsid w:val="72347A3D"/>
    <w:rsid w:val="723A2FAE"/>
    <w:rsid w:val="72476FC9"/>
    <w:rsid w:val="724A0DB7"/>
    <w:rsid w:val="725F3FC5"/>
    <w:rsid w:val="72646574"/>
    <w:rsid w:val="726D6FD7"/>
    <w:rsid w:val="726E73F3"/>
    <w:rsid w:val="7274175D"/>
    <w:rsid w:val="72774C9A"/>
    <w:rsid w:val="727D4077"/>
    <w:rsid w:val="72863AA7"/>
    <w:rsid w:val="728F7ACD"/>
    <w:rsid w:val="72943159"/>
    <w:rsid w:val="72953AF1"/>
    <w:rsid w:val="72971D67"/>
    <w:rsid w:val="72A51ACA"/>
    <w:rsid w:val="72A86060"/>
    <w:rsid w:val="72AB5F51"/>
    <w:rsid w:val="72AC3063"/>
    <w:rsid w:val="72AF28A7"/>
    <w:rsid w:val="72AF5494"/>
    <w:rsid w:val="72B20521"/>
    <w:rsid w:val="72B42B0B"/>
    <w:rsid w:val="72B53D34"/>
    <w:rsid w:val="72B80B69"/>
    <w:rsid w:val="72BA7F87"/>
    <w:rsid w:val="72BB74DD"/>
    <w:rsid w:val="72BB7BCC"/>
    <w:rsid w:val="72C2329A"/>
    <w:rsid w:val="72C32414"/>
    <w:rsid w:val="72C400B2"/>
    <w:rsid w:val="72C4162D"/>
    <w:rsid w:val="72C74B35"/>
    <w:rsid w:val="72C805DB"/>
    <w:rsid w:val="72C97191"/>
    <w:rsid w:val="72CE024D"/>
    <w:rsid w:val="72D1172F"/>
    <w:rsid w:val="72D21A88"/>
    <w:rsid w:val="72D354A8"/>
    <w:rsid w:val="72D858C1"/>
    <w:rsid w:val="72DB610A"/>
    <w:rsid w:val="72DC7380"/>
    <w:rsid w:val="72DD6326"/>
    <w:rsid w:val="72DE30C9"/>
    <w:rsid w:val="72E328D4"/>
    <w:rsid w:val="72E43F2E"/>
    <w:rsid w:val="72F01BB6"/>
    <w:rsid w:val="72F124C3"/>
    <w:rsid w:val="72F2109D"/>
    <w:rsid w:val="72F72AC0"/>
    <w:rsid w:val="73150018"/>
    <w:rsid w:val="73150AFC"/>
    <w:rsid w:val="731E487C"/>
    <w:rsid w:val="731F0AA8"/>
    <w:rsid w:val="731F472C"/>
    <w:rsid w:val="73225980"/>
    <w:rsid w:val="732820FD"/>
    <w:rsid w:val="732C6966"/>
    <w:rsid w:val="73340C51"/>
    <w:rsid w:val="733A7FE1"/>
    <w:rsid w:val="73465C7A"/>
    <w:rsid w:val="73497518"/>
    <w:rsid w:val="734C1455"/>
    <w:rsid w:val="734C70EE"/>
    <w:rsid w:val="734D142F"/>
    <w:rsid w:val="734D44BC"/>
    <w:rsid w:val="734F0FD2"/>
    <w:rsid w:val="73515805"/>
    <w:rsid w:val="73573E91"/>
    <w:rsid w:val="73594EEF"/>
    <w:rsid w:val="735A4CBC"/>
    <w:rsid w:val="736139DA"/>
    <w:rsid w:val="73634DA1"/>
    <w:rsid w:val="73691C33"/>
    <w:rsid w:val="7372228E"/>
    <w:rsid w:val="7373536B"/>
    <w:rsid w:val="73770563"/>
    <w:rsid w:val="73795531"/>
    <w:rsid w:val="737A5776"/>
    <w:rsid w:val="737C5B3F"/>
    <w:rsid w:val="737D37CC"/>
    <w:rsid w:val="73813156"/>
    <w:rsid w:val="73855D77"/>
    <w:rsid w:val="73880A33"/>
    <w:rsid w:val="738A1640"/>
    <w:rsid w:val="738A1837"/>
    <w:rsid w:val="738C4998"/>
    <w:rsid w:val="739051CC"/>
    <w:rsid w:val="739151FB"/>
    <w:rsid w:val="73942E89"/>
    <w:rsid w:val="73944F9C"/>
    <w:rsid w:val="7399049F"/>
    <w:rsid w:val="739927FB"/>
    <w:rsid w:val="739C1D3D"/>
    <w:rsid w:val="73A155A6"/>
    <w:rsid w:val="73A23D3A"/>
    <w:rsid w:val="73A24FAD"/>
    <w:rsid w:val="73A51EE2"/>
    <w:rsid w:val="73AA47FB"/>
    <w:rsid w:val="73AD7669"/>
    <w:rsid w:val="73AF1DC1"/>
    <w:rsid w:val="73B04BCD"/>
    <w:rsid w:val="73B65D64"/>
    <w:rsid w:val="73B74401"/>
    <w:rsid w:val="73B80562"/>
    <w:rsid w:val="73BB61C1"/>
    <w:rsid w:val="73BC2AB0"/>
    <w:rsid w:val="73BC476F"/>
    <w:rsid w:val="73D14BBF"/>
    <w:rsid w:val="73D934DE"/>
    <w:rsid w:val="73DB0C0A"/>
    <w:rsid w:val="73E26224"/>
    <w:rsid w:val="73E26FB6"/>
    <w:rsid w:val="73EA21A3"/>
    <w:rsid w:val="73EC4687"/>
    <w:rsid w:val="73F56E97"/>
    <w:rsid w:val="73F73481"/>
    <w:rsid w:val="73F90401"/>
    <w:rsid w:val="73F96A3B"/>
    <w:rsid w:val="73FD0584"/>
    <w:rsid w:val="740F26E9"/>
    <w:rsid w:val="74104EB2"/>
    <w:rsid w:val="74126BC0"/>
    <w:rsid w:val="74150779"/>
    <w:rsid w:val="741F34C6"/>
    <w:rsid w:val="742003C3"/>
    <w:rsid w:val="74237D69"/>
    <w:rsid w:val="74240D16"/>
    <w:rsid w:val="74266D5E"/>
    <w:rsid w:val="74273790"/>
    <w:rsid w:val="742C095F"/>
    <w:rsid w:val="743304F6"/>
    <w:rsid w:val="743A09CB"/>
    <w:rsid w:val="743C233A"/>
    <w:rsid w:val="743D0E94"/>
    <w:rsid w:val="743F310C"/>
    <w:rsid w:val="74432E49"/>
    <w:rsid w:val="744347A4"/>
    <w:rsid w:val="74466428"/>
    <w:rsid w:val="74494C94"/>
    <w:rsid w:val="74495482"/>
    <w:rsid w:val="744D309E"/>
    <w:rsid w:val="745054BE"/>
    <w:rsid w:val="74520322"/>
    <w:rsid w:val="74556815"/>
    <w:rsid w:val="74591142"/>
    <w:rsid w:val="745C0418"/>
    <w:rsid w:val="745C1017"/>
    <w:rsid w:val="745C2583"/>
    <w:rsid w:val="745F1DAA"/>
    <w:rsid w:val="74600FBD"/>
    <w:rsid w:val="746022ED"/>
    <w:rsid w:val="746166C8"/>
    <w:rsid w:val="747A49D3"/>
    <w:rsid w:val="747B47C1"/>
    <w:rsid w:val="747B6FB9"/>
    <w:rsid w:val="7482415F"/>
    <w:rsid w:val="74865875"/>
    <w:rsid w:val="748969AA"/>
    <w:rsid w:val="748969B2"/>
    <w:rsid w:val="7492222E"/>
    <w:rsid w:val="74936C9D"/>
    <w:rsid w:val="749C6BDB"/>
    <w:rsid w:val="749F4C63"/>
    <w:rsid w:val="74A76C06"/>
    <w:rsid w:val="74AD7E48"/>
    <w:rsid w:val="74AF43A5"/>
    <w:rsid w:val="74B64984"/>
    <w:rsid w:val="74B84955"/>
    <w:rsid w:val="74C064B4"/>
    <w:rsid w:val="74C07CAE"/>
    <w:rsid w:val="74C11875"/>
    <w:rsid w:val="74C177D1"/>
    <w:rsid w:val="74C74622"/>
    <w:rsid w:val="74D11287"/>
    <w:rsid w:val="74D329FB"/>
    <w:rsid w:val="74D57736"/>
    <w:rsid w:val="74D7200A"/>
    <w:rsid w:val="74D76582"/>
    <w:rsid w:val="74DF1EE2"/>
    <w:rsid w:val="74E30911"/>
    <w:rsid w:val="74E41769"/>
    <w:rsid w:val="74E514C2"/>
    <w:rsid w:val="74E7348C"/>
    <w:rsid w:val="74E750F1"/>
    <w:rsid w:val="74EE03E0"/>
    <w:rsid w:val="74EE481B"/>
    <w:rsid w:val="74F219DB"/>
    <w:rsid w:val="74F37436"/>
    <w:rsid w:val="74F856DB"/>
    <w:rsid w:val="74FA0A16"/>
    <w:rsid w:val="74FD6AF9"/>
    <w:rsid w:val="750053AF"/>
    <w:rsid w:val="75063689"/>
    <w:rsid w:val="75063912"/>
    <w:rsid w:val="750704ED"/>
    <w:rsid w:val="750722DF"/>
    <w:rsid w:val="75097B16"/>
    <w:rsid w:val="750C6A6D"/>
    <w:rsid w:val="7514582F"/>
    <w:rsid w:val="75151AF9"/>
    <w:rsid w:val="751731ED"/>
    <w:rsid w:val="75175511"/>
    <w:rsid w:val="751C68C3"/>
    <w:rsid w:val="751F23F8"/>
    <w:rsid w:val="75207767"/>
    <w:rsid w:val="752A673E"/>
    <w:rsid w:val="752D65E2"/>
    <w:rsid w:val="753164B5"/>
    <w:rsid w:val="75360FB0"/>
    <w:rsid w:val="75377F70"/>
    <w:rsid w:val="753C2A26"/>
    <w:rsid w:val="753F0EC9"/>
    <w:rsid w:val="75411BFF"/>
    <w:rsid w:val="7542237B"/>
    <w:rsid w:val="754B1461"/>
    <w:rsid w:val="754B359F"/>
    <w:rsid w:val="75510906"/>
    <w:rsid w:val="75530E51"/>
    <w:rsid w:val="755334CE"/>
    <w:rsid w:val="755F52D0"/>
    <w:rsid w:val="75646241"/>
    <w:rsid w:val="75656F9B"/>
    <w:rsid w:val="756B281C"/>
    <w:rsid w:val="756C77A6"/>
    <w:rsid w:val="756E30BA"/>
    <w:rsid w:val="756F644C"/>
    <w:rsid w:val="75734D20"/>
    <w:rsid w:val="757956AE"/>
    <w:rsid w:val="757D1149"/>
    <w:rsid w:val="75877662"/>
    <w:rsid w:val="75905815"/>
    <w:rsid w:val="75971833"/>
    <w:rsid w:val="75AA6994"/>
    <w:rsid w:val="75AC0D2B"/>
    <w:rsid w:val="75B2655C"/>
    <w:rsid w:val="75B27931"/>
    <w:rsid w:val="75B66339"/>
    <w:rsid w:val="75BC08E5"/>
    <w:rsid w:val="75C24F30"/>
    <w:rsid w:val="75C97A4F"/>
    <w:rsid w:val="75CA6FC2"/>
    <w:rsid w:val="75D0102D"/>
    <w:rsid w:val="75D54AA5"/>
    <w:rsid w:val="75D72FE8"/>
    <w:rsid w:val="75D9071B"/>
    <w:rsid w:val="75DA0B91"/>
    <w:rsid w:val="75DB224C"/>
    <w:rsid w:val="75DD11C7"/>
    <w:rsid w:val="75DD40AF"/>
    <w:rsid w:val="75E4324C"/>
    <w:rsid w:val="75EC08DF"/>
    <w:rsid w:val="75F627BD"/>
    <w:rsid w:val="75F75C0E"/>
    <w:rsid w:val="75F776FF"/>
    <w:rsid w:val="75F95225"/>
    <w:rsid w:val="75FD2E26"/>
    <w:rsid w:val="75FD377B"/>
    <w:rsid w:val="75FE1C7F"/>
    <w:rsid w:val="7608238C"/>
    <w:rsid w:val="76094850"/>
    <w:rsid w:val="760B4156"/>
    <w:rsid w:val="760B7B05"/>
    <w:rsid w:val="760D6065"/>
    <w:rsid w:val="760D6311"/>
    <w:rsid w:val="760F7E27"/>
    <w:rsid w:val="76124539"/>
    <w:rsid w:val="76133266"/>
    <w:rsid w:val="76143E0D"/>
    <w:rsid w:val="76146140"/>
    <w:rsid w:val="7615360E"/>
    <w:rsid w:val="761B33ED"/>
    <w:rsid w:val="761E11E9"/>
    <w:rsid w:val="762436BA"/>
    <w:rsid w:val="762773F9"/>
    <w:rsid w:val="762A6911"/>
    <w:rsid w:val="762B2034"/>
    <w:rsid w:val="762B7BC5"/>
    <w:rsid w:val="762D7A78"/>
    <w:rsid w:val="762E37CF"/>
    <w:rsid w:val="76312C11"/>
    <w:rsid w:val="76370767"/>
    <w:rsid w:val="76386FA7"/>
    <w:rsid w:val="763A3DB1"/>
    <w:rsid w:val="763B05AA"/>
    <w:rsid w:val="763D5369"/>
    <w:rsid w:val="763E051E"/>
    <w:rsid w:val="76411A97"/>
    <w:rsid w:val="764A13AC"/>
    <w:rsid w:val="76504B2A"/>
    <w:rsid w:val="76515480"/>
    <w:rsid w:val="765661D4"/>
    <w:rsid w:val="76574C18"/>
    <w:rsid w:val="76577E25"/>
    <w:rsid w:val="766052A4"/>
    <w:rsid w:val="7662223A"/>
    <w:rsid w:val="766230F1"/>
    <w:rsid w:val="76685A31"/>
    <w:rsid w:val="766964A3"/>
    <w:rsid w:val="76697971"/>
    <w:rsid w:val="76742690"/>
    <w:rsid w:val="76764AC8"/>
    <w:rsid w:val="767A6AA8"/>
    <w:rsid w:val="767D5E56"/>
    <w:rsid w:val="767D65DB"/>
    <w:rsid w:val="7685090B"/>
    <w:rsid w:val="76884579"/>
    <w:rsid w:val="768D6682"/>
    <w:rsid w:val="769136B0"/>
    <w:rsid w:val="769413F2"/>
    <w:rsid w:val="7697620C"/>
    <w:rsid w:val="76990ED1"/>
    <w:rsid w:val="769B21E7"/>
    <w:rsid w:val="769B5020"/>
    <w:rsid w:val="76A07D97"/>
    <w:rsid w:val="76AD0C6B"/>
    <w:rsid w:val="76B06C4E"/>
    <w:rsid w:val="76C34E0E"/>
    <w:rsid w:val="76C70E7F"/>
    <w:rsid w:val="76C81D35"/>
    <w:rsid w:val="76CB270C"/>
    <w:rsid w:val="76D64DBB"/>
    <w:rsid w:val="76E00191"/>
    <w:rsid w:val="76E934EC"/>
    <w:rsid w:val="76ED2800"/>
    <w:rsid w:val="76F12774"/>
    <w:rsid w:val="76F529B8"/>
    <w:rsid w:val="770D4FEA"/>
    <w:rsid w:val="770E3161"/>
    <w:rsid w:val="772462D2"/>
    <w:rsid w:val="773310E3"/>
    <w:rsid w:val="77344E9D"/>
    <w:rsid w:val="77493922"/>
    <w:rsid w:val="774B7D02"/>
    <w:rsid w:val="77500AC5"/>
    <w:rsid w:val="77511B2F"/>
    <w:rsid w:val="77545759"/>
    <w:rsid w:val="7758241F"/>
    <w:rsid w:val="775C42C8"/>
    <w:rsid w:val="775C652E"/>
    <w:rsid w:val="775D1E86"/>
    <w:rsid w:val="775E6C46"/>
    <w:rsid w:val="775F22CA"/>
    <w:rsid w:val="77674E00"/>
    <w:rsid w:val="776B358A"/>
    <w:rsid w:val="776B7337"/>
    <w:rsid w:val="776D5ECB"/>
    <w:rsid w:val="776F3A5B"/>
    <w:rsid w:val="77732A69"/>
    <w:rsid w:val="777379AB"/>
    <w:rsid w:val="777929C9"/>
    <w:rsid w:val="777934D0"/>
    <w:rsid w:val="778545A4"/>
    <w:rsid w:val="77880A07"/>
    <w:rsid w:val="77880CD0"/>
    <w:rsid w:val="77885880"/>
    <w:rsid w:val="778D382F"/>
    <w:rsid w:val="779043E2"/>
    <w:rsid w:val="779150B9"/>
    <w:rsid w:val="77981D0C"/>
    <w:rsid w:val="77992335"/>
    <w:rsid w:val="77996CC0"/>
    <w:rsid w:val="779D7FD8"/>
    <w:rsid w:val="779E3850"/>
    <w:rsid w:val="779F004E"/>
    <w:rsid w:val="77A2369A"/>
    <w:rsid w:val="77A67511"/>
    <w:rsid w:val="77B0059A"/>
    <w:rsid w:val="77B203F2"/>
    <w:rsid w:val="77B34168"/>
    <w:rsid w:val="77B853CE"/>
    <w:rsid w:val="77BD2282"/>
    <w:rsid w:val="77BE1E71"/>
    <w:rsid w:val="77C36C3C"/>
    <w:rsid w:val="77C67389"/>
    <w:rsid w:val="77C947D0"/>
    <w:rsid w:val="77CA1EBC"/>
    <w:rsid w:val="77CB0788"/>
    <w:rsid w:val="77D24250"/>
    <w:rsid w:val="77D42406"/>
    <w:rsid w:val="77DB6F08"/>
    <w:rsid w:val="77DF0EAD"/>
    <w:rsid w:val="77E00F94"/>
    <w:rsid w:val="77ED050F"/>
    <w:rsid w:val="77F24622"/>
    <w:rsid w:val="77F35A3B"/>
    <w:rsid w:val="77F62ECE"/>
    <w:rsid w:val="77F870C7"/>
    <w:rsid w:val="77FC45E3"/>
    <w:rsid w:val="77FE6B23"/>
    <w:rsid w:val="7800708B"/>
    <w:rsid w:val="78067BF4"/>
    <w:rsid w:val="780D49C2"/>
    <w:rsid w:val="78102276"/>
    <w:rsid w:val="78164B46"/>
    <w:rsid w:val="78191187"/>
    <w:rsid w:val="781B6834"/>
    <w:rsid w:val="7820118F"/>
    <w:rsid w:val="78263297"/>
    <w:rsid w:val="7832524F"/>
    <w:rsid w:val="78415E9C"/>
    <w:rsid w:val="78420B23"/>
    <w:rsid w:val="78450BF6"/>
    <w:rsid w:val="784D556E"/>
    <w:rsid w:val="784E76DC"/>
    <w:rsid w:val="784F6C6D"/>
    <w:rsid w:val="78520277"/>
    <w:rsid w:val="78564BB1"/>
    <w:rsid w:val="7856695F"/>
    <w:rsid w:val="78580D70"/>
    <w:rsid w:val="78591FAB"/>
    <w:rsid w:val="785C7CED"/>
    <w:rsid w:val="785E75C1"/>
    <w:rsid w:val="78601FAC"/>
    <w:rsid w:val="786A010A"/>
    <w:rsid w:val="786B4485"/>
    <w:rsid w:val="786F0EB0"/>
    <w:rsid w:val="787207CE"/>
    <w:rsid w:val="7878605C"/>
    <w:rsid w:val="78790DD8"/>
    <w:rsid w:val="787C42DD"/>
    <w:rsid w:val="7880578A"/>
    <w:rsid w:val="78881919"/>
    <w:rsid w:val="788A5451"/>
    <w:rsid w:val="78970B5C"/>
    <w:rsid w:val="78970D25"/>
    <w:rsid w:val="789B65F7"/>
    <w:rsid w:val="789D4FA3"/>
    <w:rsid w:val="78A31051"/>
    <w:rsid w:val="78A504C8"/>
    <w:rsid w:val="78A531FA"/>
    <w:rsid w:val="78B13B0E"/>
    <w:rsid w:val="78B8775D"/>
    <w:rsid w:val="78C637C5"/>
    <w:rsid w:val="78C700B3"/>
    <w:rsid w:val="78C84750"/>
    <w:rsid w:val="78CC045C"/>
    <w:rsid w:val="78CC1BBB"/>
    <w:rsid w:val="78D63FA4"/>
    <w:rsid w:val="78D67D8F"/>
    <w:rsid w:val="78DA2088"/>
    <w:rsid w:val="78DC3DC2"/>
    <w:rsid w:val="78DF77D5"/>
    <w:rsid w:val="78E656E7"/>
    <w:rsid w:val="78E75646"/>
    <w:rsid w:val="78EB5EFD"/>
    <w:rsid w:val="78ED5FD0"/>
    <w:rsid w:val="78F43600"/>
    <w:rsid w:val="78F8672E"/>
    <w:rsid w:val="78FC1B35"/>
    <w:rsid w:val="78FC3171"/>
    <w:rsid w:val="79062161"/>
    <w:rsid w:val="790F252D"/>
    <w:rsid w:val="7915037B"/>
    <w:rsid w:val="79162D4D"/>
    <w:rsid w:val="79177FE6"/>
    <w:rsid w:val="79274516"/>
    <w:rsid w:val="792A71B0"/>
    <w:rsid w:val="792D38DD"/>
    <w:rsid w:val="793264AD"/>
    <w:rsid w:val="793622EC"/>
    <w:rsid w:val="79383E91"/>
    <w:rsid w:val="793C27D0"/>
    <w:rsid w:val="793F50FD"/>
    <w:rsid w:val="79441AD8"/>
    <w:rsid w:val="79457AEC"/>
    <w:rsid w:val="79481F08"/>
    <w:rsid w:val="79496D88"/>
    <w:rsid w:val="794C1DA6"/>
    <w:rsid w:val="795165F5"/>
    <w:rsid w:val="7955306E"/>
    <w:rsid w:val="79571C6C"/>
    <w:rsid w:val="7958705D"/>
    <w:rsid w:val="795874B4"/>
    <w:rsid w:val="795A0A1C"/>
    <w:rsid w:val="795A748D"/>
    <w:rsid w:val="795D3D1D"/>
    <w:rsid w:val="795F1843"/>
    <w:rsid w:val="795F2BDC"/>
    <w:rsid w:val="7961710C"/>
    <w:rsid w:val="796226B7"/>
    <w:rsid w:val="796353FD"/>
    <w:rsid w:val="79677BB8"/>
    <w:rsid w:val="796B468C"/>
    <w:rsid w:val="796C2588"/>
    <w:rsid w:val="796E440F"/>
    <w:rsid w:val="79721E6F"/>
    <w:rsid w:val="79724F7D"/>
    <w:rsid w:val="7983035D"/>
    <w:rsid w:val="798736BF"/>
    <w:rsid w:val="798813F5"/>
    <w:rsid w:val="798D7A55"/>
    <w:rsid w:val="79907C4E"/>
    <w:rsid w:val="79913160"/>
    <w:rsid w:val="79915775"/>
    <w:rsid w:val="799747B9"/>
    <w:rsid w:val="799B65F3"/>
    <w:rsid w:val="799C2A97"/>
    <w:rsid w:val="799C5797"/>
    <w:rsid w:val="79A0233B"/>
    <w:rsid w:val="79A156EC"/>
    <w:rsid w:val="79AB5F9C"/>
    <w:rsid w:val="79AE532D"/>
    <w:rsid w:val="79AF1CE3"/>
    <w:rsid w:val="79B44348"/>
    <w:rsid w:val="79B54A1C"/>
    <w:rsid w:val="79B55907"/>
    <w:rsid w:val="79B95BC9"/>
    <w:rsid w:val="79C32FEF"/>
    <w:rsid w:val="79C379F9"/>
    <w:rsid w:val="79CE3098"/>
    <w:rsid w:val="79D30053"/>
    <w:rsid w:val="79DD4E28"/>
    <w:rsid w:val="79DE7C8F"/>
    <w:rsid w:val="79E11BB0"/>
    <w:rsid w:val="79E36BB6"/>
    <w:rsid w:val="79E52441"/>
    <w:rsid w:val="79E73F60"/>
    <w:rsid w:val="79EB0EE8"/>
    <w:rsid w:val="79ED046B"/>
    <w:rsid w:val="79F27898"/>
    <w:rsid w:val="79F44E1F"/>
    <w:rsid w:val="79FA70FF"/>
    <w:rsid w:val="79FA77BE"/>
    <w:rsid w:val="7A04063C"/>
    <w:rsid w:val="7A042CD9"/>
    <w:rsid w:val="7A050E0B"/>
    <w:rsid w:val="7A0516E2"/>
    <w:rsid w:val="7A13345A"/>
    <w:rsid w:val="7A136E37"/>
    <w:rsid w:val="7A144F09"/>
    <w:rsid w:val="7A2013FC"/>
    <w:rsid w:val="7A215327"/>
    <w:rsid w:val="7A293534"/>
    <w:rsid w:val="7A307AB0"/>
    <w:rsid w:val="7A314E83"/>
    <w:rsid w:val="7A33557C"/>
    <w:rsid w:val="7A356A32"/>
    <w:rsid w:val="7A3643BA"/>
    <w:rsid w:val="7A371718"/>
    <w:rsid w:val="7A380C3F"/>
    <w:rsid w:val="7A3B7287"/>
    <w:rsid w:val="7A414775"/>
    <w:rsid w:val="7A495610"/>
    <w:rsid w:val="7A4C0DA0"/>
    <w:rsid w:val="7A5073DE"/>
    <w:rsid w:val="7A545120"/>
    <w:rsid w:val="7A576A80"/>
    <w:rsid w:val="7A5A71FD"/>
    <w:rsid w:val="7A5C7ABE"/>
    <w:rsid w:val="7A601CB0"/>
    <w:rsid w:val="7A606B16"/>
    <w:rsid w:val="7A671E2B"/>
    <w:rsid w:val="7A6840CE"/>
    <w:rsid w:val="7A6A3770"/>
    <w:rsid w:val="7A765096"/>
    <w:rsid w:val="7A7F18A6"/>
    <w:rsid w:val="7A7F4BEA"/>
    <w:rsid w:val="7A894151"/>
    <w:rsid w:val="7A8C6A7B"/>
    <w:rsid w:val="7A956866"/>
    <w:rsid w:val="7A975B0F"/>
    <w:rsid w:val="7A9E6473"/>
    <w:rsid w:val="7AA13499"/>
    <w:rsid w:val="7AA3019F"/>
    <w:rsid w:val="7AA9318C"/>
    <w:rsid w:val="7AB14320"/>
    <w:rsid w:val="7AB979C0"/>
    <w:rsid w:val="7ABD6E5B"/>
    <w:rsid w:val="7AC0723D"/>
    <w:rsid w:val="7AC0753C"/>
    <w:rsid w:val="7AC330B7"/>
    <w:rsid w:val="7ACC2256"/>
    <w:rsid w:val="7ACE7B72"/>
    <w:rsid w:val="7AD258DE"/>
    <w:rsid w:val="7ADA3F95"/>
    <w:rsid w:val="7ADA627D"/>
    <w:rsid w:val="7ADB139D"/>
    <w:rsid w:val="7ADB19DB"/>
    <w:rsid w:val="7ADC193F"/>
    <w:rsid w:val="7ADD1A35"/>
    <w:rsid w:val="7AE65992"/>
    <w:rsid w:val="7AE832A5"/>
    <w:rsid w:val="7AF26AFD"/>
    <w:rsid w:val="7B036EB4"/>
    <w:rsid w:val="7B04326A"/>
    <w:rsid w:val="7B091CEE"/>
    <w:rsid w:val="7B0C1557"/>
    <w:rsid w:val="7B0D3C52"/>
    <w:rsid w:val="7B104866"/>
    <w:rsid w:val="7B14039D"/>
    <w:rsid w:val="7B1810CF"/>
    <w:rsid w:val="7B1A6202"/>
    <w:rsid w:val="7B1F5C79"/>
    <w:rsid w:val="7B2A6F49"/>
    <w:rsid w:val="7B2C61C2"/>
    <w:rsid w:val="7B2E353D"/>
    <w:rsid w:val="7B2E771F"/>
    <w:rsid w:val="7B334754"/>
    <w:rsid w:val="7B3758CF"/>
    <w:rsid w:val="7B390BF2"/>
    <w:rsid w:val="7B3958D8"/>
    <w:rsid w:val="7B3E48CE"/>
    <w:rsid w:val="7B414564"/>
    <w:rsid w:val="7B4162C7"/>
    <w:rsid w:val="7B432A24"/>
    <w:rsid w:val="7B4C7AD1"/>
    <w:rsid w:val="7B4E202E"/>
    <w:rsid w:val="7B500604"/>
    <w:rsid w:val="7B512E32"/>
    <w:rsid w:val="7B534E2D"/>
    <w:rsid w:val="7B566948"/>
    <w:rsid w:val="7B58479C"/>
    <w:rsid w:val="7B5B4263"/>
    <w:rsid w:val="7B63097E"/>
    <w:rsid w:val="7B664EBA"/>
    <w:rsid w:val="7B683189"/>
    <w:rsid w:val="7B68667B"/>
    <w:rsid w:val="7B6A1815"/>
    <w:rsid w:val="7B720C3F"/>
    <w:rsid w:val="7B794213"/>
    <w:rsid w:val="7B7B1B1C"/>
    <w:rsid w:val="7B80028F"/>
    <w:rsid w:val="7B881E48"/>
    <w:rsid w:val="7B910339"/>
    <w:rsid w:val="7B9608A6"/>
    <w:rsid w:val="7B98535A"/>
    <w:rsid w:val="7BAA5C6C"/>
    <w:rsid w:val="7BAE48FC"/>
    <w:rsid w:val="7BB267FD"/>
    <w:rsid w:val="7BB47794"/>
    <w:rsid w:val="7BB83DF8"/>
    <w:rsid w:val="7BBA2E35"/>
    <w:rsid w:val="7BBC4CEB"/>
    <w:rsid w:val="7BBD6668"/>
    <w:rsid w:val="7BC00135"/>
    <w:rsid w:val="7BC4644F"/>
    <w:rsid w:val="7BC678CD"/>
    <w:rsid w:val="7BC76B4E"/>
    <w:rsid w:val="7BC80A02"/>
    <w:rsid w:val="7BC97448"/>
    <w:rsid w:val="7BCC163B"/>
    <w:rsid w:val="7BD015C9"/>
    <w:rsid w:val="7BD06E0B"/>
    <w:rsid w:val="7BDA78A7"/>
    <w:rsid w:val="7BE0388D"/>
    <w:rsid w:val="7BE57D93"/>
    <w:rsid w:val="7BE66796"/>
    <w:rsid w:val="7BE953EB"/>
    <w:rsid w:val="7BEB42B2"/>
    <w:rsid w:val="7BEC5887"/>
    <w:rsid w:val="7BF2699E"/>
    <w:rsid w:val="7BF50268"/>
    <w:rsid w:val="7BFD7BB8"/>
    <w:rsid w:val="7BFF4559"/>
    <w:rsid w:val="7C072615"/>
    <w:rsid w:val="7C0827FE"/>
    <w:rsid w:val="7C1024D5"/>
    <w:rsid w:val="7C110D86"/>
    <w:rsid w:val="7C142DB9"/>
    <w:rsid w:val="7C15268D"/>
    <w:rsid w:val="7C1A756B"/>
    <w:rsid w:val="7C1B1028"/>
    <w:rsid w:val="7C226546"/>
    <w:rsid w:val="7C23124E"/>
    <w:rsid w:val="7C2321EE"/>
    <w:rsid w:val="7C27638A"/>
    <w:rsid w:val="7C2B2034"/>
    <w:rsid w:val="7C2D4906"/>
    <w:rsid w:val="7C2F354F"/>
    <w:rsid w:val="7C3043FE"/>
    <w:rsid w:val="7C3068C2"/>
    <w:rsid w:val="7C395682"/>
    <w:rsid w:val="7C432117"/>
    <w:rsid w:val="7C4B7AF2"/>
    <w:rsid w:val="7C4F607B"/>
    <w:rsid w:val="7C530360"/>
    <w:rsid w:val="7C5807CC"/>
    <w:rsid w:val="7C583982"/>
    <w:rsid w:val="7C585A5D"/>
    <w:rsid w:val="7C591C2A"/>
    <w:rsid w:val="7C5D29FA"/>
    <w:rsid w:val="7C6048EB"/>
    <w:rsid w:val="7C6812C7"/>
    <w:rsid w:val="7C6A0C2B"/>
    <w:rsid w:val="7C6E5AA6"/>
    <w:rsid w:val="7C6F6241"/>
    <w:rsid w:val="7C72389C"/>
    <w:rsid w:val="7C745605"/>
    <w:rsid w:val="7C75601E"/>
    <w:rsid w:val="7C7D0B32"/>
    <w:rsid w:val="7C7F643E"/>
    <w:rsid w:val="7C862E2E"/>
    <w:rsid w:val="7C8835D9"/>
    <w:rsid w:val="7C8C5EFB"/>
    <w:rsid w:val="7C9061B7"/>
    <w:rsid w:val="7C941196"/>
    <w:rsid w:val="7C956ABD"/>
    <w:rsid w:val="7C9B399C"/>
    <w:rsid w:val="7C9F1048"/>
    <w:rsid w:val="7CA31AB6"/>
    <w:rsid w:val="7CA4518D"/>
    <w:rsid w:val="7CAA5140"/>
    <w:rsid w:val="7CAF552B"/>
    <w:rsid w:val="7CB11CD3"/>
    <w:rsid w:val="7CB5571E"/>
    <w:rsid w:val="7CB95387"/>
    <w:rsid w:val="7CBE5D37"/>
    <w:rsid w:val="7CC620FB"/>
    <w:rsid w:val="7CCB7772"/>
    <w:rsid w:val="7CCC5441"/>
    <w:rsid w:val="7CCD69E1"/>
    <w:rsid w:val="7CD17149"/>
    <w:rsid w:val="7CD61354"/>
    <w:rsid w:val="7CD730F8"/>
    <w:rsid w:val="7CE22869"/>
    <w:rsid w:val="7CF83CD0"/>
    <w:rsid w:val="7CF847E8"/>
    <w:rsid w:val="7CFD2609"/>
    <w:rsid w:val="7D021560"/>
    <w:rsid w:val="7D027F2A"/>
    <w:rsid w:val="7D061726"/>
    <w:rsid w:val="7D074804"/>
    <w:rsid w:val="7D0A1A32"/>
    <w:rsid w:val="7D0C1069"/>
    <w:rsid w:val="7D0E3B6C"/>
    <w:rsid w:val="7D0E4B5B"/>
    <w:rsid w:val="7D103C64"/>
    <w:rsid w:val="7D1B1F25"/>
    <w:rsid w:val="7D1D6CEB"/>
    <w:rsid w:val="7D1E37C3"/>
    <w:rsid w:val="7D20687F"/>
    <w:rsid w:val="7D264C50"/>
    <w:rsid w:val="7D276B1C"/>
    <w:rsid w:val="7D2C2F03"/>
    <w:rsid w:val="7D33504E"/>
    <w:rsid w:val="7D344D95"/>
    <w:rsid w:val="7D362C54"/>
    <w:rsid w:val="7D3C08AA"/>
    <w:rsid w:val="7D3C6F98"/>
    <w:rsid w:val="7D456190"/>
    <w:rsid w:val="7D472D1A"/>
    <w:rsid w:val="7D4928DE"/>
    <w:rsid w:val="7D4C641E"/>
    <w:rsid w:val="7D4E01BC"/>
    <w:rsid w:val="7D53387A"/>
    <w:rsid w:val="7D5A2578"/>
    <w:rsid w:val="7D5C3B57"/>
    <w:rsid w:val="7D5C493C"/>
    <w:rsid w:val="7D5D1A51"/>
    <w:rsid w:val="7D5E0C6A"/>
    <w:rsid w:val="7D605D70"/>
    <w:rsid w:val="7D635300"/>
    <w:rsid w:val="7D654C78"/>
    <w:rsid w:val="7D7B0C16"/>
    <w:rsid w:val="7D7B1A43"/>
    <w:rsid w:val="7D914060"/>
    <w:rsid w:val="7DA92C0A"/>
    <w:rsid w:val="7DA939D5"/>
    <w:rsid w:val="7DA97DDD"/>
    <w:rsid w:val="7DAD053D"/>
    <w:rsid w:val="7DAE540F"/>
    <w:rsid w:val="7DB07FBB"/>
    <w:rsid w:val="7DB4368B"/>
    <w:rsid w:val="7DBA0129"/>
    <w:rsid w:val="7DBA647B"/>
    <w:rsid w:val="7DBB157D"/>
    <w:rsid w:val="7DBC7CD9"/>
    <w:rsid w:val="7DBE4BFA"/>
    <w:rsid w:val="7DBF6626"/>
    <w:rsid w:val="7DC05D62"/>
    <w:rsid w:val="7DC64DD5"/>
    <w:rsid w:val="7DC77519"/>
    <w:rsid w:val="7DD00F61"/>
    <w:rsid w:val="7DE07F17"/>
    <w:rsid w:val="7DE23B93"/>
    <w:rsid w:val="7DE41D50"/>
    <w:rsid w:val="7DE47B3F"/>
    <w:rsid w:val="7DE72E62"/>
    <w:rsid w:val="7DE75C09"/>
    <w:rsid w:val="7DE92023"/>
    <w:rsid w:val="7DE9584E"/>
    <w:rsid w:val="7DEA41A0"/>
    <w:rsid w:val="7DF16C5F"/>
    <w:rsid w:val="7DF5241B"/>
    <w:rsid w:val="7DF7247F"/>
    <w:rsid w:val="7E08116D"/>
    <w:rsid w:val="7E096221"/>
    <w:rsid w:val="7E1725A6"/>
    <w:rsid w:val="7E176B90"/>
    <w:rsid w:val="7E1F2DD5"/>
    <w:rsid w:val="7E20473E"/>
    <w:rsid w:val="7E243046"/>
    <w:rsid w:val="7E2C393B"/>
    <w:rsid w:val="7E352961"/>
    <w:rsid w:val="7E3D429D"/>
    <w:rsid w:val="7E3E551B"/>
    <w:rsid w:val="7E3F75FE"/>
    <w:rsid w:val="7E4313B6"/>
    <w:rsid w:val="7E432E4B"/>
    <w:rsid w:val="7E440EAA"/>
    <w:rsid w:val="7E480690"/>
    <w:rsid w:val="7E492AC2"/>
    <w:rsid w:val="7E4936E0"/>
    <w:rsid w:val="7E4B683A"/>
    <w:rsid w:val="7E4F507E"/>
    <w:rsid w:val="7E584976"/>
    <w:rsid w:val="7E5971A9"/>
    <w:rsid w:val="7E5E656D"/>
    <w:rsid w:val="7E69685C"/>
    <w:rsid w:val="7E6D055E"/>
    <w:rsid w:val="7E6D1F56"/>
    <w:rsid w:val="7E6F077A"/>
    <w:rsid w:val="7E7F420C"/>
    <w:rsid w:val="7E804FCB"/>
    <w:rsid w:val="7E833E34"/>
    <w:rsid w:val="7E88494F"/>
    <w:rsid w:val="7E891110"/>
    <w:rsid w:val="7E8B2066"/>
    <w:rsid w:val="7E8E42BF"/>
    <w:rsid w:val="7E9032A4"/>
    <w:rsid w:val="7E914FE5"/>
    <w:rsid w:val="7E9212CE"/>
    <w:rsid w:val="7E950AD5"/>
    <w:rsid w:val="7E971EEC"/>
    <w:rsid w:val="7E9A5B7C"/>
    <w:rsid w:val="7E9F62B8"/>
    <w:rsid w:val="7EB540EC"/>
    <w:rsid w:val="7EB87BC5"/>
    <w:rsid w:val="7EC34622"/>
    <w:rsid w:val="7ED338B1"/>
    <w:rsid w:val="7ED44F77"/>
    <w:rsid w:val="7ED544B5"/>
    <w:rsid w:val="7ED700CE"/>
    <w:rsid w:val="7EDB49B6"/>
    <w:rsid w:val="7EE232F5"/>
    <w:rsid w:val="7EE24BC3"/>
    <w:rsid w:val="7EE960F3"/>
    <w:rsid w:val="7EEA0C77"/>
    <w:rsid w:val="7EF15D28"/>
    <w:rsid w:val="7EF249D0"/>
    <w:rsid w:val="7EF651E7"/>
    <w:rsid w:val="7EF8118A"/>
    <w:rsid w:val="7EFC18E2"/>
    <w:rsid w:val="7F0B65FD"/>
    <w:rsid w:val="7F0D0F48"/>
    <w:rsid w:val="7F1A66A7"/>
    <w:rsid w:val="7F1B5E8E"/>
    <w:rsid w:val="7F2E4552"/>
    <w:rsid w:val="7F3A609B"/>
    <w:rsid w:val="7F462997"/>
    <w:rsid w:val="7F5117A9"/>
    <w:rsid w:val="7F58543C"/>
    <w:rsid w:val="7F5D4DA0"/>
    <w:rsid w:val="7F64664B"/>
    <w:rsid w:val="7F64796D"/>
    <w:rsid w:val="7F687CB7"/>
    <w:rsid w:val="7F6A7194"/>
    <w:rsid w:val="7F6B7D7D"/>
    <w:rsid w:val="7F6E4313"/>
    <w:rsid w:val="7F7119F3"/>
    <w:rsid w:val="7F771FB9"/>
    <w:rsid w:val="7F786EE5"/>
    <w:rsid w:val="7F80282F"/>
    <w:rsid w:val="7F8404D1"/>
    <w:rsid w:val="7F853AB6"/>
    <w:rsid w:val="7F8D4C51"/>
    <w:rsid w:val="7F8F43FC"/>
    <w:rsid w:val="7F9D2957"/>
    <w:rsid w:val="7F9E2999"/>
    <w:rsid w:val="7FA23687"/>
    <w:rsid w:val="7FA37F21"/>
    <w:rsid w:val="7FA60AA9"/>
    <w:rsid w:val="7FA70C17"/>
    <w:rsid w:val="7FA71F3A"/>
    <w:rsid w:val="7FAD6DF7"/>
    <w:rsid w:val="7FB35629"/>
    <w:rsid w:val="7FBF2A37"/>
    <w:rsid w:val="7FC31585"/>
    <w:rsid w:val="7FC379A1"/>
    <w:rsid w:val="7FC468A4"/>
    <w:rsid w:val="7FC638A9"/>
    <w:rsid w:val="7FCB755C"/>
    <w:rsid w:val="7FCC02AE"/>
    <w:rsid w:val="7FD078E1"/>
    <w:rsid w:val="7FD11273"/>
    <w:rsid w:val="7FD663AD"/>
    <w:rsid w:val="7FDA7E75"/>
    <w:rsid w:val="7FE15B6A"/>
    <w:rsid w:val="7FE9455C"/>
    <w:rsid w:val="7FEE2D61"/>
    <w:rsid w:val="7FF07C1F"/>
    <w:rsid w:val="7FF30F37"/>
    <w:rsid w:val="7FF524C2"/>
    <w:rsid w:val="7FF67CC8"/>
    <w:rsid w:val="7FF76C7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99"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pPr>
    <w:rPr>
      <w:rFonts w:ascii="宋体" w:hAnsi="宋体" w:eastAsia="宋体" w:cstheme="minorBidi"/>
      <w:kern w:val="2"/>
      <w:sz w:val="24"/>
      <w:szCs w:val="24"/>
      <w:lang w:val="en-US" w:eastAsia="zh-CN" w:bidi="ar-SA"/>
    </w:rPr>
  </w:style>
  <w:style w:type="paragraph" w:styleId="3">
    <w:name w:val="heading 1"/>
    <w:basedOn w:val="1"/>
    <w:next w:val="1"/>
    <w:qFormat/>
    <w:uiPriority w:val="0"/>
    <w:pPr>
      <w:keepNext/>
      <w:keepLines/>
      <w:outlineLvl w:val="0"/>
    </w:pPr>
    <w:rPr>
      <w:b/>
      <w:kern w:val="44"/>
      <w:sz w:val="44"/>
    </w:rPr>
  </w:style>
  <w:style w:type="paragraph" w:styleId="2">
    <w:name w:val="heading 2"/>
    <w:basedOn w:val="1"/>
    <w:next w:val="1"/>
    <w:link w:val="29"/>
    <w:unhideWhenUsed/>
    <w:qFormat/>
    <w:uiPriority w:val="0"/>
    <w:pPr>
      <w:keepNext/>
      <w:keepLines/>
      <w:spacing w:line="500" w:lineRule="exact"/>
      <w:outlineLvl w:val="1"/>
    </w:pPr>
    <w:rPr>
      <w:rFonts w:ascii="Arial" w:hAnsi="Arial" w:eastAsia="黑体"/>
      <w:b/>
      <w:sz w:val="28"/>
    </w:rPr>
  </w:style>
  <w:style w:type="paragraph" w:styleId="4">
    <w:name w:val="heading 3"/>
    <w:basedOn w:val="1"/>
    <w:next w:val="1"/>
    <w:unhideWhenUsed/>
    <w:qFormat/>
    <w:uiPriority w:val="0"/>
    <w:pPr>
      <w:outlineLvl w:val="2"/>
    </w:pPr>
    <w:rPr>
      <w:rFonts w:hint="eastAsia" w:cs="Times New Roman"/>
      <w:b/>
      <w:kern w:val="0"/>
      <w:sz w:val="27"/>
      <w:szCs w:val="27"/>
    </w:rPr>
  </w:style>
  <w:style w:type="paragraph" w:styleId="5">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6">
    <w:name w:val="heading 7"/>
    <w:basedOn w:val="1"/>
    <w:next w:val="1"/>
    <w:semiHidden/>
    <w:unhideWhenUsed/>
    <w:qFormat/>
    <w:uiPriority w:val="0"/>
    <w:pPr>
      <w:keepNext/>
      <w:keepLines/>
      <w:numPr>
        <w:ilvl w:val="6"/>
        <w:numId w:val="1"/>
      </w:numPr>
      <w:spacing w:before="240" w:after="64" w:line="317" w:lineRule="auto"/>
      <w:outlineLvl w:val="6"/>
    </w:pPr>
    <w:rPr>
      <w:b/>
    </w:rPr>
  </w:style>
  <w:style w:type="paragraph" w:styleId="7">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rPr>
  </w:style>
  <w:style w:type="paragraph" w:styleId="8">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0"/>
    <w:pPr>
      <w:ind w:firstLine="420" w:firstLineChars="200"/>
    </w:pPr>
  </w:style>
  <w:style w:type="paragraph" w:styleId="10">
    <w:name w:val="annotation text"/>
    <w:basedOn w:val="1"/>
    <w:qFormat/>
    <w:uiPriority w:val="0"/>
  </w:style>
  <w:style w:type="paragraph" w:styleId="11">
    <w:name w:val="Body Text 3"/>
    <w:basedOn w:val="1"/>
    <w:unhideWhenUsed/>
    <w:qFormat/>
    <w:uiPriority w:val="99"/>
    <w:pPr>
      <w:spacing w:after="120"/>
    </w:pPr>
    <w:rPr>
      <w:sz w:val="16"/>
      <w:szCs w:val="16"/>
    </w:rPr>
  </w:style>
  <w:style w:type="paragraph" w:styleId="12">
    <w:name w:val="Body Text"/>
    <w:basedOn w:val="1"/>
    <w:next w:val="1"/>
    <w:qFormat/>
    <w:uiPriority w:val="0"/>
    <w:pPr>
      <w:spacing w:after="120"/>
    </w:pPr>
    <w:rPr>
      <w:rFonts w:ascii="Times New Roman"/>
    </w:rPr>
  </w:style>
  <w:style w:type="paragraph" w:styleId="13">
    <w:name w:val="Body Text Indent"/>
    <w:basedOn w:val="1"/>
    <w:qFormat/>
    <w:uiPriority w:val="0"/>
    <w:pPr>
      <w:ind w:firstLine="538" w:firstLineChars="168"/>
    </w:pPr>
    <w:rPr>
      <w:rFonts w:ascii="仿宋_GB2312" w:eastAsia="仿宋_GB2312"/>
      <w:sz w:val="32"/>
    </w:rPr>
  </w:style>
  <w:style w:type="paragraph" w:styleId="14">
    <w:name w:val="toc 3"/>
    <w:basedOn w:val="1"/>
    <w:next w:val="1"/>
    <w:qFormat/>
    <w:uiPriority w:val="0"/>
    <w:pPr>
      <w:wordWrap w:val="0"/>
      <w:topLinePunct/>
      <w:spacing w:line="400" w:lineRule="exact"/>
      <w:ind w:left="840" w:leftChars="400"/>
    </w:pPr>
    <w:rPr>
      <w:sz w:val="21"/>
    </w:rPr>
  </w:style>
  <w:style w:type="paragraph" w:styleId="15">
    <w:name w:val="Balloon Text"/>
    <w:basedOn w:val="1"/>
    <w:link w:val="78"/>
    <w:qFormat/>
    <w:uiPriority w:val="0"/>
    <w:pPr>
      <w:spacing w:line="240" w:lineRule="auto"/>
    </w:pPr>
    <w:rPr>
      <w:sz w:val="18"/>
      <w:szCs w:val="18"/>
    </w:rPr>
  </w:style>
  <w:style w:type="paragraph" w:styleId="16">
    <w:name w:val="footer"/>
    <w:basedOn w:val="1"/>
    <w:link w:val="33"/>
    <w:qFormat/>
    <w:uiPriority w:val="0"/>
    <w:pPr>
      <w:spacing w:line="240" w:lineRule="auto"/>
    </w:pPr>
    <w:rPr>
      <w:sz w:val="18"/>
      <w:szCs w:val="18"/>
    </w:rPr>
  </w:style>
  <w:style w:type="paragraph" w:styleId="17">
    <w:name w:val="header"/>
    <w:basedOn w:val="1"/>
    <w:link w:val="32"/>
    <w:qFormat/>
    <w:uiPriority w:val="0"/>
    <w:pPr>
      <w:pBdr>
        <w:bottom w:val="single" w:color="auto" w:sz="6" w:space="1"/>
      </w:pBdr>
      <w:wordWrap w:val="0"/>
      <w:topLinePunct/>
      <w:spacing w:line="240" w:lineRule="auto"/>
      <w:jc w:val="center"/>
    </w:pPr>
    <w:rPr>
      <w:sz w:val="18"/>
      <w:szCs w:val="18"/>
    </w:rPr>
  </w:style>
  <w:style w:type="paragraph" w:styleId="18">
    <w:name w:val="toc 1"/>
    <w:basedOn w:val="1"/>
    <w:next w:val="1"/>
    <w:qFormat/>
    <w:uiPriority w:val="0"/>
    <w:pPr>
      <w:tabs>
        <w:tab w:val="right" w:leader="dot" w:pos="0"/>
        <w:tab w:val="right" w:leader="dot" w:pos="9746"/>
      </w:tabs>
      <w:wordWrap w:val="0"/>
      <w:topLinePunct/>
      <w:spacing w:line="400" w:lineRule="exact"/>
    </w:pPr>
    <w:rPr>
      <w:sz w:val="21"/>
    </w:rPr>
  </w:style>
  <w:style w:type="paragraph" w:styleId="19">
    <w:name w:val="toc 6"/>
    <w:basedOn w:val="1"/>
    <w:next w:val="1"/>
    <w:qFormat/>
    <w:uiPriority w:val="0"/>
    <w:pPr>
      <w:ind w:left="2100"/>
    </w:pPr>
  </w:style>
  <w:style w:type="paragraph" w:styleId="20">
    <w:name w:val="toc 2"/>
    <w:basedOn w:val="1"/>
    <w:next w:val="1"/>
    <w:qFormat/>
    <w:uiPriority w:val="0"/>
    <w:pPr>
      <w:wordWrap w:val="0"/>
      <w:topLinePunct/>
      <w:spacing w:line="400" w:lineRule="exact"/>
      <w:ind w:left="420" w:leftChars="200"/>
    </w:pPr>
    <w:rPr>
      <w:sz w:val="21"/>
    </w:rPr>
  </w:style>
  <w:style w:type="paragraph" w:styleId="21">
    <w:name w:val="HTML Preformatted"/>
    <w:basedOn w:val="1"/>
    <w:unhideWhenUsed/>
    <w:qFormat/>
    <w:uiPriority w:val="99"/>
    <w:rPr>
      <w:rFonts w:ascii="Courier New" w:hAnsi="Courier New" w:cs="Courier New" w:eastAsiaTheme="minorEastAsia"/>
      <w:sz w:val="20"/>
      <w:szCs w:val="20"/>
    </w:rPr>
  </w:style>
  <w:style w:type="paragraph" w:styleId="22">
    <w:name w:val="Normal (Web)"/>
    <w:basedOn w:val="1"/>
    <w:qFormat/>
    <w:uiPriority w:val="0"/>
    <w:pPr>
      <w:spacing w:beforeAutospacing="1" w:afterAutospacing="1"/>
    </w:pPr>
    <w:rPr>
      <w:rFonts w:cs="Times New Roman"/>
      <w:kern w:val="0"/>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FollowedHyperlink"/>
    <w:basedOn w:val="25"/>
    <w:qFormat/>
    <w:uiPriority w:val="0"/>
    <w:rPr>
      <w:rFonts w:hint="eastAsia" w:ascii="微软雅黑" w:hAnsi="微软雅黑" w:eastAsia="微软雅黑" w:cs="微软雅黑"/>
      <w:color w:val="02396F"/>
      <w:u w:val="single"/>
    </w:rPr>
  </w:style>
  <w:style w:type="character" w:styleId="27">
    <w:name w:val="Emphasis"/>
    <w:basedOn w:val="25"/>
    <w:qFormat/>
    <w:uiPriority w:val="99"/>
  </w:style>
  <w:style w:type="character" w:styleId="28">
    <w:name w:val="Hyperlink"/>
    <w:basedOn w:val="25"/>
    <w:qFormat/>
    <w:uiPriority w:val="0"/>
    <w:rPr>
      <w:color w:val="0000FF"/>
      <w:u w:val="single"/>
    </w:rPr>
  </w:style>
  <w:style w:type="character" w:customStyle="1" w:styleId="29">
    <w:name w:val="标题 2 Char"/>
    <w:basedOn w:val="25"/>
    <w:link w:val="2"/>
    <w:qFormat/>
    <w:uiPriority w:val="0"/>
    <w:rPr>
      <w:rFonts w:ascii="Arial" w:hAnsi="Arial" w:eastAsia="黑体"/>
      <w:b/>
      <w:sz w:val="28"/>
    </w:rPr>
  </w:style>
  <w:style w:type="paragraph" w:customStyle="1" w:styleId="30">
    <w:name w:val="标题 5（有编号）（绿盟科技）"/>
    <w:basedOn w:val="1"/>
    <w:next w:val="31"/>
    <w:qFormat/>
    <w:uiPriority w:val="0"/>
    <w:pPr>
      <w:keepNext/>
      <w:keepLines/>
      <w:numPr>
        <w:ilvl w:val="4"/>
        <w:numId w:val="2"/>
      </w:numPr>
      <w:spacing w:before="280" w:after="156" w:line="377" w:lineRule="auto"/>
      <w:outlineLvl w:val="4"/>
    </w:pPr>
    <w:rPr>
      <w:rFonts w:ascii="Arial" w:hAnsi="Arial" w:eastAsia="黑体"/>
      <w:b/>
      <w:kern w:val="0"/>
      <w:szCs w:val="28"/>
    </w:rPr>
  </w:style>
  <w:style w:type="paragraph" w:customStyle="1" w:styleId="31">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32">
    <w:name w:val="页眉 Char"/>
    <w:basedOn w:val="25"/>
    <w:link w:val="17"/>
    <w:qFormat/>
    <w:uiPriority w:val="0"/>
    <w:rPr>
      <w:rFonts w:ascii="宋体" w:hAnsi="宋体" w:eastAsia="宋体" w:cstheme="minorBidi"/>
      <w:kern w:val="2"/>
      <w:sz w:val="18"/>
      <w:szCs w:val="18"/>
    </w:rPr>
  </w:style>
  <w:style w:type="character" w:customStyle="1" w:styleId="33">
    <w:name w:val="页脚 Char"/>
    <w:basedOn w:val="25"/>
    <w:link w:val="16"/>
    <w:qFormat/>
    <w:uiPriority w:val="0"/>
    <w:rPr>
      <w:rFonts w:ascii="宋体" w:hAnsi="宋体" w:eastAsia="宋体" w:cstheme="minorBidi"/>
      <w:kern w:val="2"/>
      <w:sz w:val="18"/>
      <w:szCs w:val="18"/>
    </w:rPr>
  </w:style>
  <w:style w:type="paragraph" w:customStyle="1" w:styleId="34">
    <w:name w:val="05、“(一)”正文三级标题"/>
    <w:basedOn w:val="1"/>
    <w:link w:val="60"/>
    <w:qFormat/>
    <w:uiPriority w:val="0"/>
    <w:pPr>
      <w:numPr>
        <w:ilvl w:val="1"/>
        <w:numId w:val="1"/>
      </w:numPr>
      <w:wordWrap w:val="0"/>
      <w:topLinePunct/>
      <w:ind w:firstLine="803" w:firstLineChars="200"/>
    </w:pPr>
  </w:style>
  <w:style w:type="paragraph" w:customStyle="1" w:styleId="35">
    <w:name w:val="00、封面正文(与其他内容无关的格式)"/>
    <w:basedOn w:val="1"/>
    <w:qFormat/>
    <w:uiPriority w:val="0"/>
  </w:style>
  <w:style w:type="paragraph" w:customStyle="1" w:styleId="36">
    <w:name w:val="15、“一、”二级标题"/>
    <w:basedOn w:val="1"/>
    <w:qFormat/>
    <w:uiPriority w:val="0"/>
    <w:pPr>
      <w:numPr>
        <w:ilvl w:val="1"/>
        <w:numId w:val="3"/>
      </w:numPr>
      <w:wordWrap w:val="0"/>
      <w:topLinePunct/>
      <w:ind w:firstLine="803" w:firstLineChars="200"/>
      <w:outlineLvl w:val="1"/>
    </w:pPr>
    <w:rPr>
      <w:b/>
    </w:rPr>
  </w:style>
  <w:style w:type="paragraph" w:customStyle="1" w:styleId="37">
    <w:name w:val="06、“1.”正文四级标题"/>
    <w:basedOn w:val="1"/>
    <w:link w:val="62"/>
    <w:qFormat/>
    <w:uiPriority w:val="0"/>
    <w:pPr>
      <w:numPr>
        <w:ilvl w:val="2"/>
        <w:numId w:val="1"/>
      </w:numPr>
      <w:wordWrap w:val="0"/>
      <w:topLinePunct/>
      <w:ind w:firstLine="803" w:firstLineChars="200"/>
    </w:pPr>
    <w:rPr>
      <w:snapToGrid w:val="0"/>
    </w:rPr>
  </w:style>
  <w:style w:type="paragraph" w:customStyle="1" w:styleId="38">
    <w:name w:val="07、“1.1”正文五级标题"/>
    <w:basedOn w:val="1"/>
    <w:link w:val="54"/>
    <w:qFormat/>
    <w:uiPriority w:val="0"/>
    <w:pPr>
      <w:numPr>
        <w:ilvl w:val="3"/>
        <w:numId w:val="1"/>
      </w:numPr>
      <w:ind w:firstLine="803" w:firstLineChars="200"/>
    </w:pPr>
  </w:style>
  <w:style w:type="paragraph" w:customStyle="1" w:styleId="39">
    <w:name w:val="08、“(1)”正文六级标题"/>
    <w:basedOn w:val="1"/>
    <w:link w:val="63"/>
    <w:qFormat/>
    <w:uiPriority w:val="0"/>
    <w:pPr>
      <w:numPr>
        <w:ilvl w:val="4"/>
        <w:numId w:val="1"/>
      </w:numPr>
      <w:ind w:firstLine="803" w:firstLineChars="200"/>
    </w:pPr>
    <w:rPr>
      <w:snapToGrid w:val="0"/>
    </w:rPr>
  </w:style>
  <w:style w:type="paragraph" w:customStyle="1" w:styleId="40">
    <w:name w:val="09、“1.”表格内一级标题"/>
    <w:basedOn w:val="1"/>
    <w:qFormat/>
    <w:uiPriority w:val="0"/>
    <w:pPr>
      <w:numPr>
        <w:ilvl w:val="0"/>
        <w:numId w:val="4"/>
      </w:numPr>
      <w:wordWrap w:val="0"/>
      <w:topLinePunct/>
      <w:spacing w:line="360" w:lineRule="exact"/>
      <w:ind w:left="48" w:leftChars="20"/>
    </w:pPr>
    <w:rPr>
      <w:snapToGrid w:val="0"/>
      <w:sz w:val="21"/>
    </w:rPr>
  </w:style>
  <w:style w:type="paragraph" w:customStyle="1" w:styleId="41">
    <w:name w:val="10、“1.1”表格内二级标题"/>
    <w:basedOn w:val="1"/>
    <w:link w:val="53"/>
    <w:qFormat/>
    <w:uiPriority w:val="0"/>
    <w:pPr>
      <w:numPr>
        <w:ilvl w:val="1"/>
        <w:numId w:val="4"/>
      </w:numPr>
      <w:wordWrap w:val="0"/>
      <w:topLinePunct/>
      <w:spacing w:line="360" w:lineRule="exact"/>
      <w:ind w:left="48" w:leftChars="20"/>
    </w:pPr>
    <w:rPr>
      <w:snapToGrid w:val="0"/>
      <w:sz w:val="21"/>
    </w:rPr>
  </w:style>
  <w:style w:type="paragraph" w:customStyle="1" w:styleId="42">
    <w:name w:val="11、“1.1.1”表格内三级标题"/>
    <w:basedOn w:val="1"/>
    <w:qFormat/>
    <w:uiPriority w:val="0"/>
    <w:pPr>
      <w:numPr>
        <w:ilvl w:val="2"/>
        <w:numId w:val="4"/>
      </w:numPr>
      <w:wordWrap w:val="0"/>
      <w:topLinePunct/>
      <w:spacing w:line="360" w:lineRule="exact"/>
      <w:ind w:left="48" w:leftChars="20"/>
    </w:pPr>
    <w:rPr>
      <w:snapToGrid w:val="0"/>
      <w:sz w:val="21"/>
    </w:rPr>
  </w:style>
  <w:style w:type="paragraph" w:customStyle="1" w:styleId="43">
    <w:name w:val="12、表格内左对齐正文"/>
    <w:basedOn w:val="1"/>
    <w:link w:val="64"/>
    <w:qFormat/>
    <w:uiPriority w:val="0"/>
    <w:pPr>
      <w:wordWrap w:val="0"/>
      <w:topLinePunct/>
      <w:spacing w:line="360" w:lineRule="exact"/>
      <w:ind w:left="48" w:leftChars="20"/>
    </w:pPr>
    <w:rPr>
      <w:snapToGrid w:val="0"/>
      <w:sz w:val="21"/>
    </w:rPr>
  </w:style>
  <w:style w:type="paragraph" w:customStyle="1" w:styleId="44">
    <w:name w:val="01、普通正文"/>
    <w:basedOn w:val="1"/>
    <w:link w:val="58"/>
    <w:qFormat/>
    <w:uiPriority w:val="0"/>
    <w:pPr>
      <w:wordWrap w:val="0"/>
      <w:topLinePunct/>
    </w:pPr>
    <w:rPr>
      <w:snapToGrid w:val="0"/>
    </w:rPr>
  </w:style>
  <w:style w:type="paragraph" w:customStyle="1" w:styleId="45">
    <w:name w:val="20、第二章“一、”二级标题"/>
    <w:basedOn w:val="44"/>
    <w:qFormat/>
    <w:uiPriority w:val="0"/>
    <w:pPr>
      <w:numPr>
        <w:ilvl w:val="0"/>
        <w:numId w:val="5"/>
      </w:numPr>
      <w:spacing w:before="50" w:beforeLines="50" w:after="50" w:afterLines="50"/>
      <w:jc w:val="center"/>
      <w:outlineLvl w:val="1"/>
    </w:pPr>
    <w:rPr>
      <w:b/>
      <w:sz w:val="32"/>
    </w:rPr>
  </w:style>
  <w:style w:type="paragraph" w:customStyle="1" w:styleId="46">
    <w:name w:val="21、第三章“(一)”三级标题"/>
    <w:basedOn w:val="44"/>
    <w:link w:val="55"/>
    <w:qFormat/>
    <w:uiPriority w:val="0"/>
    <w:pPr>
      <w:pageBreakBefore/>
      <w:spacing w:before="50" w:beforeLines="50" w:after="50" w:afterLines="50"/>
      <w:jc w:val="center"/>
      <w:outlineLvl w:val="2"/>
    </w:pPr>
    <w:rPr>
      <w:b/>
      <w:sz w:val="28"/>
    </w:rPr>
  </w:style>
  <w:style w:type="paragraph" w:customStyle="1" w:styleId="47">
    <w:name w:val="13、表格内居中正文"/>
    <w:basedOn w:val="1"/>
    <w:qFormat/>
    <w:uiPriority w:val="0"/>
    <w:pPr>
      <w:wordWrap w:val="0"/>
      <w:topLinePunct/>
      <w:spacing w:line="360" w:lineRule="exact"/>
      <w:jc w:val="center"/>
    </w:pPr>
    <w:rPr>
      <w:sz w:val="21"/>
    </w:rPr>
  </w:style>
  <w:style w:type="paragraph" w:customStyle="1" w:styleId="48">
    <w:name w:val="02、首行缩进2字符正文"/>
    <w:basedOn w:val="1"/>
    <w:link w:val="57"/>
    <w:qFormat/>
    <w:uiPriority w:val="0"/>
    <w:pPr>
      <w:wordWrap w:val="0"/>
      <w:topLinePunct/>
      <w:ind w:firstLine="480" w:firstLineChars="200"/>
    </w:pPr>
  </w:style>
  <w:style w:type="paragraph" w:customStyle="1" w:styleId="49">
    <w:name w:val="03、“注：”正文(加粗，首行缩进2字符)"/>
    <w:basedOn w:val="44"/>
    <w:link w:val="59"/>
    <w:qFormat/>
    <w:uiPriority w:val="0"/>
    <w:pPr>
      <w:ind w:firstLine="480" w:firstLineChars="200"/>
    </w:pPr>
    <w:rPr>
      <w:b/>
    </w:rPr>
  </w:style>
  <w:style w:type="paragraph" w:customStyle="1" w:styleId="50">
    <w:name w:val="14、“第一章”一级标题"/>
    <w:basedOn w:val="44"/>
    <w:qFormat/>
    <w:uiPriority w:val="0"/>
    <w:pPr>
      <w:numPr>
        <w:ilvl w:val="0"/>
        <w:numId w:val="3"/>
      </w:numPr>
      <w:spacing w:before="50" w:beforeLines="50" w:after="50" w:afterLines="50" w:line="240" w:lineRule="auto"/>
      <w:jc w:val="center"/>
      <w:outlineLvl w:val="0"/>
    </w:pPr>
    <w:rPr>
      <w:b/>
      <w:sz w:val="36"/>
    </w:rPr>
  </w:style>
  <w:style w:type="paragraph" w:customStyle="1" w:styleId="51">
    <w:name w:val="16、“(一)”三级标题"/>
    <w:basedOn w:val="44"/>
    <w:link w:val="56"/>
    <w:qFormat/>
    <w:uiPriority w:val="0"/>
    <w:pPr>
      <w:numPr>
        <w:ilvl w:val="2"/>
        <w:numId w:val="3"/>
      </w:numPr>
      <w:ind w:firstLine="803" w:firstLineChars="200"/>
      <w:outlineLvl w:val="2"/>
    </w:pPr>
    <w:rPr>
      <w:b/>
    </w:rPr>
  </w:style>
  <w:style w:type="paragraph" w:customStyle="1" w:styleId="52">
    <w:name w:val="04“一、”正文二级标题"/>
    <w:basedOn w:val="44"/>
    <w:link w:val="61"/>
    <w:qFormat/>
    <w:uiPriority w:val="0"/>
    <w:pPr>
      <w:ind w:firstLine="803" w:firstLineChars="200"/>
    </w:pPr>
  </w:style>
  <w:style w:type="character" w:customStyle="1" w:styleId="53">
    <w:name w:val="10、“1.1”表格内二级标题 Char"/>
    <w:link w:val="41"/>
    <w:qFormat/>
    <w:uiPriority w:val="0"/>
    <w:rPr>
      <w:rFonts w:ascii="宋体" w:hAnsi="宋体" w:eastAsia="宋体"/>
      <w:snapToGrid w:val="0"/>
      <w:sz w:val="21"/>
    </w:rPr>
  </w:style>
  <w:style w:type="character" w:customStyle="1" w:styleId="54">
    <w:name w:val="07、“1.1”正文五级标题 Char"/>
    <w:link w:val="38"/>
    <w:qFormat/>
    <w:uiPriority w:val="0"/>
    <w:rPr>
      <w:rFonts w:ascii="宋体" w:hAnsi="宋体" w:eastAsia="宋体"/>
    </w:rPr>
  </w:style>
  <w:style w:type="character" w:customStyle="1" w:styleId="55">
    <w:name w:val="18、第三章“(一)”三级标题 Char"/>
    <w:link w:val="46"/>
    <w:qFormat/>
    <w:uiPriority w:val="0"/>
    <w:rPr>
      <w:rFonts w:ascii="宋体" w:hAnsi="宋体" w:cstheme="minorBidi"/>
      <w:b/>
      <w:snapToGrid w:val="0"/>
      <w:kern w:val="2"/>
      <w:sz w:val="28"/>
      <w:szCs w:val="24"/>
    </w:rPr>
  </w:style>
  <w:style w:type="character" w:customStyle="1" w:styleId="56">
    <w:name w:val="16、“(一)”三级标题 Char"/>
    <w:link w:val="51"/>
    <w:qFormat/>
    <w:uiPriority w:val="0"/>
    <w:rPr>
      <w:rFonts w:ascii="宋体" w:hAnsi="宋体" w:eastAsia="宋体"/>
      <w:b/>
    </w:rPr>
  </w:style>
  <w:style w:type="character" w:customStyle="1" w:styleId="57">
    <w:name w:val="02、首行缩进2字符正文 Char"/>
    <w:link w:val="48"/>
    <w:qFormat/>
    <w:uiPriority w:val="0"/>
    <w:rPr>
      <w:rFonts w:ascii="宋体" w:hAnsi="宋体" w:eastAsia="宋体"/>
    </w:rPr>
  </w:style>
  <w:style w:type="character" w:customStyle="1" w:styleId="58">
    <w:name w:val="01、普通正文 Char"/>
    <w:link w:val="44"/>
    <w:qFormat/>
    <w:uiPriority w:val="0"/>
    <w:rPr>
      <w:rFonts w:ascii="宋体" w:hAnsi="宋体" w:eastAsia="宋体"/>
      <w:snapToGrid w:val="0"/>
    </w:rPr>
  </w:style>
  <w:style w:type="character" w:customStyle="1" w:styleId="59">
    <w:name w:val="03、“注：”正文(加粗，首行缩进2字符) Char"/>
    <w:link w:val="49"/>
    <w:qFormat/>
    <w:uiPriority w:val="0"/>
    <w:rPr>
      <w:b/>
    </w:rPr>
  </w:style>
  <w:style w:type="character" w:customStyle="1" w:styleId="60">
    <w:name w:val="05、“(一)”正文三级标题 Char"/>
    <w:link w:val="34"/>
    <w:qFormat/>
    <w:uiPriority w:val="0"/>
    <w:rPr>
      <w:rFonts w:ascii="宋体" w:hAnsi="宋体" w:eastAsia="宋体"/>
    </w:rPr>
  </w:style>
  <w:style w:type="character" w:customStyle="1" w:styleId="61">
    <w:name w:val="04“一、”正文二级标题 Char"/>
    <w:link w:val="52"/>
    <w:qFormat/>
    <w:uiPriority w:val="0"/>
  </w:style>
  <w:style w:type="character" w:customStyle="1" w:styleId="62">
    <w:name w:val="06、“1.”正文四级标题 Char"/>
    <w:link w:val="37"/>
    <w:qFormat/>
    <w:uiPriority w:val="0"/>
    <w:rPr>
      <w:rFonts w:ascii="宋体" w:hAnsi="宋体" w:eastAsia="宋体"/>
      <w:snapToGrid w:val="0"/>
    </w:rPr>
  </w:style>
  <w:style w:type="character" w:customStyle="1" w:styleId="63">
    <w:name w:val="08、“(1)”正文六级标题 Char"/>
    <w:link w:val="39"/>
    <w:qFormat/>
    <w:uiPriority w:val="0"/>
    <w:rPr>
      <w:rFonts w:ascii="宋体" w:hAnsi="宋体" w:eastAsia="宋体"/>
      <w:snapToGrid w:val="0"/>
    </w:rPr>
  </w:style>
  <w:style w:type="character" w:customStyle="1" w:styleId="64">
    <w:name w:val="12、表格内左对齐正文 Char"/>
    <w:link w:val="43"/>
    <w:qFormat/>
    <w:uiPriority w:val="0"/>
    <w:rPr>
      <w:rFonts w:ascii="宋体" w:hAnsi="宋体" w:eastAsia="宋体"/>
      <w:snapToGrid w:val="0"/>
      <w:sz w:val="21"/>
    </w:rPr>
  </w:style>
  <w:style w:type="paragraph" w:customStyle="1" w:styleId="65">
    <w:name w:val="17“1.”四级标题"/>
    <w:basedOn w:val="48"/>
    <w:qFormat/>
    <w:uiPriority w:val="0"/>
    <w:pPr>
      <w:numPr>
        <w:ilvl w:val="3"/>
        <w:numId w:val="3"/>
      </w:numPr>
      <w:ind w:firstLine="803"/>
    </w:pPr>
  </w:style>
  <w:style w:type="paragraph" w:customStyle="1" w:styleId="66">
    <w:name w:val="18、“1.1”五级标题"/>
    <w:basedOn w:val="65"/>
    <w:qFormat/>
    <w:uiPriority w:val="0"/>
    <w:pPr>
      <w:numPr>
        <w:ilvl w:val="4"/>
      </w:numPr>
      <w:ind w:firstLine="803"/>
    </w:pPr>
  </w:style>
  <w:style w:type="paragraph" w:customStyle="1" w:styleId="67">
    <w:name w:val="19、“(1)”六级标题"/>
    <w:basedOn w:val="65"/>
    <w:qFormat/>
    <w:uiPriority w:val="0"/>
    <w:pPr>
      <w:numPr>
        <w:ilvl w:val="5"/>
      </w:numPr>
      <w:ind w:firstLine="803"/>
    </w:pPr>
  </w:style>
  <w:style w:type="paragraph" w:customStyle="1" w:styleId="68">
    <w:name w:val="样式 首行缩进:  2 字符"/>
    <w:basedOn w:val="1"/>
    <w:qFormat/>
    <w:uiPriority w:val="0"/>
    <w:pPr>
      <w:spacing w:line="400" w:lineRule="exact"/>
      <w:ind w:firstLine="200" w:firstLineChars="200"/>
    </w:pPr>
    <w:rPr>
      <w:rFonts w:cs="宋体"/>
    </w:rPr>
  </w:style>
  <w:style w:type="character" w:customStyle="1" w:styleId="69">
    <w:name w:val="qxdate"/>
    <w:basedOn w:val="25"/>
    <w:qFormat/>
    <w:uiPriority w:val="0"/>
    <w:rPr>
      <w:color w:val="BA2636"/>
      <w:sz w:val="12"/>
      <w:szCs w:val="12"/>
      <w:u w:val="single"/>
    </w:rPr>
  </w:style>
  <w:style w:type="character" w:customStyle="1" w:styleId="70">
    <w:name w:val="displayarti"/>
    <w:basedOn w:val="25"/>
    <w:qFormat/>
    <w:uiPriority w:val="0"/>
    <w:rPr>
      <w:color w:val="FFFFFF"/>
      <w:shd w:val="clear" w:color="auto" w:fill="A00000"/>
    </w:rPr>
  </w:style>
  <w:style w:type="character" w:customStyle="1" w:styleId="71">
    <w:name w:val="cfdate"/>
    <w:basedOn w:val="25"/>
    <w:qFormat/>
    <w:uiPriority w:val="0"/>
    <w:rPr>
      <w:color w:val="333333"/>
      <w:sz w:val="12"/>
      <w:szCs w:val="12"/>
    </w:rPr>
  </w:style>
  <w:style w:type="character" w:customStyle="1" w:styleId="72">
    <w:name w:val="gjfg"/>
    <w:basedOn w:val="25"/>
    <w:qFormat/>
    <w:uiPriority w:val="0"/>
  </w:style>
  <w:style w:type="character" w:customStyle="1" w:styleId="73">
    <w:name w:val="redfilefwwh"/>
    <w:basedOn w:val="25"/>
    <w:qFormat/>
    <w:uiPriority w:val="0"/>
    <w:rPr>
      <w:color w:val="BA2636"/>
      <w:sz w:val="12"/>
      <w:szCs w:val="12"/>
    </w:rPr>
  </w:style>
  <w:style w:type="character" w:customStyle="1" w:styleId="74">
    <w:name w:val="redfilenumber"/>
    <w:basedOn w:val="25"/>
    <w:qFormat/>
    <w:uiPriority w:val="0"/>
    <w:rPr>
      <w:color w:val="BA2636"/>
      <w:sz w:val="12"/>
      <w:szCs w:val="12"/>
    </w:rPr>
  </w:style>
  <w:style w:type="paragraph" w:customStyle="1" w:styleId="75">
    <w:name w:val="20、第五章“(一)”三级标题"/>
    <w:basedOn w:val="44"/>
    <w:qFormat/>
    <w:uiPriority w:val="0"/>
    <w:pPr>
      <w:pageBreakBefore/>
      <w:numPr>
        <w:ilvl w:val="0"/>
        <w:numId w:val="6"/>
      </w:numPr>
      <w:spacing w:before="50" w:beforeLines="50" w:after="50" w:afterLines="50"/>
      <w:jc w:val="center"/>
      <w:outlineLvl w:val="2"/>
    </w:pPr>
    <w:rPr>
      <w:b/>
      <w:sz w:val="28"/>
    </w:rPr>
  </w:style>
  <w:style w:type="paragraph" w:styleId="76">
    <w:name w:val="List Paragraph"/>
    <w:basedOn w:val="1"/>
    <w:qFormat/>
    <w:uiPriority w:val="1"/>
    <w:pPr>
      <w:ind w:left="205" w:right="169" w:firstLine="655"/>
    </w:pPr>
    <w:rPr>
      <w:rFonts w:ascii="仿宋" w:hAnsi="仿宋" w:eastAsia="仿宋" w:cs="仿宋"/>
      <w:u w:val="single" w:color="000000"/>
      <w:lang w:val="zh-CN" w:bidi="zh-CN"/>
    </w:rPr>
  </w:style>
  <w:style w:type="table" w:customStyle="1" w:styleId="77">
    <w:name w:val="Table Normal"/>
    <w:semiHidden/>
    <w:unhideWhenUsed/>
    <w:qFormat/>
    <w:uiPriority w:val="0"/>
    <w:tblPr>
      <w:tblCellMar>
        <w:top w:w="0" w:type="dxa"/>
        <w:left w:w="0" w:type="dxa"/>
        <w:bottom w:w="0" w:type="dxa"/>
        <w:right w:w="0" w:type="dxa"/>
      </w:tblCellMar>
    </w:tblPr>
  </w:style>
  <w:style w:type="character" w:customStyle="1" w:styleId="78">
    <w:name w:val="批注框文本 Char"/>
    <w:basedOn w:val="25"/>
    <w:link w:val="15"/>
    <w:qFormat/>
    <w:uiPriority w:val="0"/>
    <w:rPr>
      <w:rFonts w:ascii="宋体" w:hAnsi="宋体" w:cstheme="minorBidi"/>
      <w:kern w:val="2"/>
      <w:sz w:val="18"/>
      <w:szCs w:val="18"/>
    </w:rPr>
  </w:style>
  <w:style w:type="paragraph" w:customStyle="1" w:styleId="79">
    <w:name w:val="列出段落1"/>
    <w:basedOn w:val="1"/>
    <w:qFormat/>
    <w:uiPriority w:val="1"/>
    <w:pPr>
      <w:ind w:firstLine="420" w:firstLineChars="200"/>
    </w:pPr>
    <w:rPr>
      <w:rFonts w:ascii="等线" w:hAnsi="等线" w:eastAsia="等线" w:cs="Times New Roman"/>
      <w:sz w:val="21"/>
      <w:szCs w:val="22"/>
    </w:rPr>
  </w:style>
  <w:style w:type="paragraph" w:customStyle="1" w:styleId="80">
    <w:name w:val="p0"/>
    <w:basedOn w:val="1"/>
    <w:qFormat/>
    <w:uiPriority w:val="0"/>
    <w:rPr>
      <w:rFonts w:eastAsia="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jpe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jpe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jpe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107</Pages>
  <Words>57465</Words>
  <Characters>60808</Characters>
  <Lines>632</Lines>
  <Paragraphs>178</Paragraphs>
  <TotalTime>34</TotalTime>
  <ScaleCrop>false</ScaleCrop>
  <LinksUpToDate>false</LinksUpToDate>
  <CharactersWithSpaces>64807</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2023-05-16T02:56:00Z</dcterms:created>
  <dc:creator>HP</dc:creator>
  <cp:lastModifiedBy>晓风残月</cp:lastModifiedBy>
  <cp:lastPrinted>2023-10-16T08:30:00Z</cp:lastPrinted>
  <dcterms:modified xsi:type="dcterms:W3CDTF">2023-10-17T08:47:26Z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B52E545F3F28418FB9BAFBCBC360A2D7</vt:lpwstr>
  </property>
  <property fmtid="{D5CDD505-2E9C-101B-9397-08002B2CF9AE}" pid="4" name="KSOSaveFontToCloudKey">
    <vt:lpwstr>307340517_btnclosed</vt:lpwstr>
  </property>
</Properties>
</file>